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559A" w:rsidRPr="003D7135" w:rsidRDefault="00B07069" w:rsidP="00210E85">
      <w:pPr>
        <w:rPr>
          <w:rFonts w:ascii="Verdana" w:hAnsi="Verdana"/>
          <w:b/>
          <w:szCs w:val="18"/>
        </w:rPr>
      </w:pPr>
      <w:r w:rsidRPr="003D7135">
        <w:rPr>
          <w:rFonts w:ascii="Verdana" w:hAnsi="Verdana"/>
          <w:b/>
          <w:szCs w:val="18"/>
        </w:rPr>
        <w:t>Guidance on the TB CARE I (MDR)</w:t>
      </w:r>
      <w:r w:rsidR="003D7135">
        <w:rPr>
          <w:rFonts w:ascii="Verdana" w:hAnsi="Verdana"/>
          <w:b/>
          <w:szCs w:val="18"/>
        </w:rPr>
        <w:t xml:space="preserve"> </w:t>
      </w:r>
      <w:r w:rsidRPr="003D7135">
        <w:rPr>
          <w:rFonts w:ascii="Verdana" w:hAnsi="Verdana"/>
          <w:b/>
          <w:szCs w:val="18"/>
        </w:rPr>
        <w:t>TB patient cost tool</w:t>
      </w:r>
    </w:p>
    <w:p w:rsidR="001F66A8" w:rsidRPr="003D7135" w:rsidRDefault="001F66A8" w:rsidP="00210E85">
      <w:pPr>
        <w:rPr>
          <w:rFonts w:ascii="Verdana" w:hAnsi="Verdana"/>
          <w:sz w:val="18"/>
          <w:szCs w:val="18"/>
        </w:rPr>
      </w:pPr>
    </w:p>
    <w:tbl>
      <w:tblPr>
        <w:tblW w:w="0" w:type="auto"/>
        <w:tblLayout w:type="fixed"/>
        <w:tblCellMar>
          <w:left w:w="0" w:type="dxa"/>
          <w:right w:w="0" w:type="dxa"/>
        </w:tblCellMar>
        <w:tblLook w:val="04A0"/>
      </w:tblPr>
      <w:tblGrid>
        <w:gridCol w:w="959"/>
        <w:gridCol w:w="2834"/>
        <w:gridCol w:w="1442"/>
        <w:gridCol w:w="4053"/>
      </w:tblGrid>
      <w:tr w:rsidR="00010E83" w:rsidRPr="003D7135" w:rsidTr="003D7135">
        <w:tc>
          <w:tcPr>
            <w:tcW w:w="95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210E85" w:rsidRPr="003D7135" w:rsidRDefault="00210E85">
            <w:pPr>
              <w:rPr>
                <w:rFonts w:ascii="Verdana" w:hAnsi="Verdana"/>
                <w:b/>
                <w:bCs/>
                <w:sz w:val="18"/>
                <w:szCs w:val="18"/>
              </w:rPr>
            </w:pPr>
            <w:r w:rsidRPr="003D7135">
              <w:rPr>
                <w:rFonts w:ascii="Verdana" w:hAnsi="Verdana"/>
                <w:b/>
                <w:bCs/>
                <w:sz w:val="18"/>
                <w:szCs w:val="18"/>
              </w:rPr>
              <w:t>Step</w:t>
            </w:r>
          </w:p>
        </w:tc>
        <w:tc>
          <w:tcPr>
            <w:tcW w:w="28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10E85" w:rsidRPr="003D7135" w:rsidRDefault="00210E85">
            <w:pPr>
              <w:rPr>
                <w:rFonts w:ascii="Verdana" w:hAnsi="Verdana"/>
                <w:b/>
                <w:bCs/>
                <w:sz w:val="18"/>
                <w:szCs w:val="18"/>
              </w:rPr>
            </w:pPr>
            <w:r w:rsidRPr="003D7135">
              <w:rPr>
                <w:rFonts w:ascii="Verdana" w:hAnsi="Verdana"/>
                <w:b/>
                <w:bCs/>
                <w:sz w:val="18"/>
                <w:szCs w:val="18"/>
              </w:rPr>
              <w:t>Description</w:t>
            </w:r>
          </w:p>
        </w:tc>
        <w:tc>
          <w:tcPr>
            <w:tcW w:w="144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10E85" w:rsidRPr="003D7135" w:rsidRDefault="00210E85">
            <w:pPr>
              <w:rPr>
                <w:rFonts w:ascii="Verdana" w:hAnsi="Verdana"/>
                <w:b/>
                <w:bCs/>
                <w:sz w:val="18"/>
                <w:szCs w:val="18"/>
              </w:rPr>
            </w:pPr>
            <w:r w:rsidRPr="003D7135">
              <w:rPr>
                <w:rFonts w:ascii="Verdana" w:hAnsi="Verdana"/>
                <w:b/>
                <w:bCs/>
                <w:sz w:val="18"/>
                <w:szCs w:val="18"/>
              </w:rPr>
              <w:t>Responsible</w:t>
            </w:r>
          </w:p>
        </w:tc>
        <w:tc>
          <w:tcPr>
            <w:tcW w:w="405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10E85" w:rsidRPr="003D7135" w:rsidRDefault="00210E85">
            <w:pPr>
              <w:rPr>
                <w:rFonts w:ascii="Verdana" w:hAnsi="Verdana"/>
                <w:b/>
                <w:bCs/>
                <w:sz w:val="18"/>
                <w:szCs w:val="18"/>
              </w:rPr>
            </w:pPr>
            <w:r w:rsidRPr="003D7135">
              <w:rPr>
                <w:rFonts w:ascii="Verdana" w:hAnsi="Verdana"/>
                <w:b/>
                <w:bCs/>
                <w:sz w:val="18"/>
                <w:szCs w:val="18"/>
              </w:rPr>
              <w:t>Remarks</w:t>
            </w:r>
          </w:p>
        </w:tc>
      </w:tr>
      <w:tr w:rsidR="00010E83" w:rsidRPr="003D7135" w:rsidTr="003D7135">
        <w:tc>
          <w:tcPr>
            <w:tcW w:w="95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C6B50" w:rsidRPr="003D7135" w:rsidRDefault="007C6B50" w:rsidP="003D7135">
            <w:pPr>
              <w:pStyle w:val="Lijstalinea"/>
              <w:numPr>
                <w:ilvl w:val="0"/>
                <w:numId w:val="2"/>
              </w:numPr>
              <w:ind w:left="426"/>
              <w:rPr>
                <w:rFonts w:ascii="Verdana" w:hAnsi="Verdana"/>
                <w:sz w:val="18"/>
                <w:szCs w:val="18"/>
              </w:rPr>
            </w:pPr>
          </w:p>
        </w:tc>
        <w:tc>
          <w:tcPr>
            <w:tcW w:w="2834" w:type="dxa"/>
            <w:tcBorders>
              <w:top w:val="nil"/>
              <w:left w:val="nil"/>
              <w:bottom w:val="single" w:sz="8" w:space="0" w:color="auto"/>
              <w:right w:val="single" w:sz="8" w:space="0" w:color="auto"/>
            </w:tcBorders>
            <w:tcMar>
              <w:top w:w="0" w:type="dxa"/>
              <w:left w:w="108" w:type="dxa"/>
              <w:bottom w:w="0" w:type="dxa"/>
              <w:right w:w="108" w:type="dxa"/>
            </w:tcMar>
            <w:hideMark/>
          </w:tcPr>
          <w:p w:rsidR="00210E85" w:rsidRPr="003D7135" w:rsidRDefault="00210E85">
            <w:pPr>
              <w:rPr>
                <w:rFonts w:ascii="Verdana" w:hAnsi="Verdana"/>
                <w:sz w:val="18"/>
                <w:szCs w:val="18"/>
              </w:rPr>
            </w:pPr>
            <w:r w:rsidRPr="003D7135">
              <w:rPr>
                <w:rFonts w:ascii="Verdana" w:hAnsi="Verdana"/>
                <w:sz w:val="18"/>
                <w:szCs w:val="18"/>
              </w:rPr>
              <w:t>Decide on study</w:t>
            </w:r>
            <w:r w:rsidR="001D3B1C">
              <w:rPr>
                <w:rFonts w:ascii="Verdana" w:hAnsi="Verdana"/>
                <w:sz w:val="18"/>
                <w:szCs w:val="18"/>
              </w:rPr>
              <w:t xml:space="preserve"> population – might include MDR-</w:t>
            </w:r>
            <w:r w:rsidRPr="003D7135">
              <w:rPr>
                <w:rFonts w:ascii="Verdana" w:hAnsi="Verdana"/>
                <w:sz w:val="18"/>
                <w:szCs w:val="18"/>
              </w:rPr>
              <w:t>TB and TB patients, from one or more centers, dependent on the study question.</w:t>
            </w:r>
          </w:p>
        </w:tc>
        <w:tc>
          <w:tcPr>
            <w:tcW w:w="1442" w:type="dxa"/>
            <w:tcBorders>
              <w:top w:val="nil"/>
              <w:left w:val="nil"/>
              <w:bottom w:val="single" w:sz="8" w:space="0" w:color="auto"/>
              <w:right w:val="single" w:sz="8" w:space="0" w:color="auto"/>
            </w:tcBorders>
            <w:tcMar>
              <w:top w:w="0" w:type="dxa"/>
              <w:left w:w="108" w:type="dxa"/>
              <w:bottom w:w="0" w:type="dxa"/>
              <w:right w:w="108" w:type="dxa"/>
            </w:tcMar>
            <w:hideMark/>
          </w:tcPr>
          <w:p w:rsidR="00210E85" w:rsidRPr="003D7135" w:rsidRDefault="00210E85">
            <w:pPr>
              <w:rPr>
                <w:rFonts w:ascii="Verdana" w:hAnsi="Verdana"/>
                <w:sz w:val="18"/>
                <w:szCs w:val="18"/>
              </w:rPr>
            </w:pPr>
            <w:r w:rsidRPr="003D7135">
              <w:rPr>
                <w:rFonts w:ascii="Verdana" w:hAnsi="Verdana"/>
                <w:sz w:val="18"/>
                <w:szCs w:val="18"/>
              </w:rPr>
              <w:t>P</w:t>
            </w:r>
            <w:r w:rsidR="004A21F1">
              <w:rPr>
                <w:rFonts w:ascii="Verdana" w:hAnsi="Verdana"/>
                <w:sz w:val="18"/>
                <w:szCs w:val="18"/>
              </w:rPr>
              <w:t>rincipal investigator (P</w:t>
            </w:r>
            <w:r w:rsidRPr="003D7135">
              <w:rPr>
                <w:rFonts w:ascii="Verdana" w:hAnsi="Verdana"/>
                <w:sz w:val="18"/>
                <w:szCs w:val="18"/>
              </w:rPr>
              <w:t>I</w:t>
            </w:r>
            <w:r w:rsidR="004A21F1">
              <w:rPr>
                <w:rFonts w:ascii="Verdana" w:hAnsi="Verdana"/>
                <w:sz w:val="18"/>
                <w:szCs w:val="18"/>
              </w:rPr>
              <w:t>)</w:t>
            </w:r>
            <w:r w:rsidRPr="003D7135">
              <w:rPr>
                <w:rFonts w:ascii="Verdana" w:hAnsi="Verdana"/>
                <w:sz w:val="18"/>
                <w:szCs w:val="18"/>
              </w:rPr>
              <w:t xml:space="preserve"> and core team</w:t>
            </w:r>
          </w:p>
        </w:tc>
        <w:tc>
          <w:tcPr>
            <w:tcW w:w="4053" w:type="dxa"/>
            <w:tcBorders>
              <w:top w:val="nil"/>
              <w:left w:val="nil"/>
              <w:bottom w:val="single" w:sz="8" w:space="0" w:color="auto"/>
              <w:right w:val="single" w:sz="8" w:space="0" w:color="auto"/>
            </w:tcBorders>
            <w:tcMar>
              <w:top w:w="0" w:type="dxa"/>
              <w:left w:w="108" w:type="dxa"/>
              <w:bottom w:w="0" w:type="dxa"/>
              <w:right w:w="108" w:type="dxa"/>
            </w:tcMar>
          </w:tcPr>
          <w:p w:rsidR="001F66A8" w:rsidRPr="003D7135" w:rsidRDefault="001D3B1C" w:rsidP="0096559A">
            <w:pPr>
              <w:rPr>
                <w:rFonts w:ascii="Verdana" w:hAnsi="Verdana"/>
                <w:sz w:val="18"/>
                <w:szCs w:val="18"/>
              </w:rPr>
            </w:pPr>
            <w:r>
              <w:rPr>
                <w:rFonts w:ascii="Verdana" w:hAnsi="Verdana"/>
                <w:sz w:val="18"/>
                <w:szCs w:val="18"/>
              </w:rPr>
              <w:t>We advis</w:t>
            </w:r>
            <w:r w:rsidR="001F66A8" w:rsidRPr="003D7135">
              <w:rPr>
                <w:rFonts w:ascii="Verdana" w:hAnsi="Verdana"/>
                <w:sz w:val="18"/>
                <w:szCs w:val="18"/>
              </w:rPr>
              <w:t xml:space="preserve">e to include only adult patients. </w:t>
            </w:r>
          </w:p>
          <w:p w:rsidR="001F66A8" w:rsidRPr="003D7135" w:rsidRDefault="00FE6DA8" w:rsidP="0096559A">
            <w:pPr>
              <w:rPr>
                <w:rFonts w:ascii="Verdana" w:hAnsi="Verdana"/>
                <w:sz w:val="18"/>
                <w:szCs w:val="18"/>
              </w:rPr>
            </w:pPr>
            <w:r w:rsidRPr="003D7135">
              <w:rPr>
                <w:rFonts w:ascii="Verdana" w:hAnsi="Verdana"/>
                <w:sz w:val="18"/>
                <w:szCs w:val="18"/>
              </w:rPr>
              <w:t>Decide on where the patients will be interviewed (at the health center and/or at home).</w:t>
            </w:r>
          </w:p>
          <w:p w:rsidR="00757AB5" w:rsidRPr="003D7135" w:rsidRDefault="00757AB5" w:rsidP="0096559A">
            <w:pPr>
              <w:rPr>
                <w:rFonts w:ascii="Verdana" w:hAnsi="Verdana"/>
                <w:sz w:val="18"/>
                <w:szCs w:val="18"/>
              </w:rPr>
            </w:pPr>
            <w:r w:rsidRPr="003D7135">
              <w:rPr>
                <w:rFonts w:ascii="Verdana" w:hAnsi="Verdana"/>
                <w:sz w:val="18"/>
                <w:szCs w:val="18"/>
              </w:rPr>
              <w:t>For patients who are currently on treatment, an appointment will be arranged if possible in combination with a DOT or follow-up visit to the health care facility. For patients who started treatment but who interrupted treatment, an appointment may be made at the home of the patient. One may choose not to include patients who died or transferred while on treatment because of logistic difficulties.</w:t>
            </w:r>
          </w:p>
          <w:p w:rsidR="00757AB5" w:rsidRPr="003D7135" w:rsidRDefault="00757AB5" w:rsidP="0096559A">
            <w:pPr>
              <w:rPr>
                <w:rFonts w:ascii="Verdana" w:hAnsi="Verdana"/>
                <w:sz w:val="18"/>
                <w:szCs w:val="18"/>
              </w:rPr>
            </w:pPr>
          </w:p>
        </w:tc>
      </w:tr>
      <w:tr w:rsidR="00010E83" w:rsidRPr="003D7135" w:rsidTr="003D7135">
        <w:tc>
          <w:tcPr>
            <w:tcW w:w="95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C6B50" w:rsidRPr="003D7135" w:rsidRDefault="007C6B50" w:rsidP="003D7135">
            <w:pPr>
              <w:pStyle w:val="Lijstalinea"/>
              <w:numPr>
                <w:ilvl w:val="0"/>
                <w:numId w:val="2"/>
              </w:numPr>
              <w:ind w:left="426"/>
              <w:rPr>
                <w:rFonts w:ascii="Verdana" w:hAnsi="Verdana"/>
                <w:sz w:val="18"/>
                <w:szCs w:val="18"/>
              </w:rPr>
            </w:pPr>
          </w:p>
        </w:tc>
        <w:tc>
          <w:tcPr>
            <w:tcW w:w="2834" w:type="dxa"/>
            <w:tcBorders>
              <w:top w:val="nil"/>
              <w:left w:val="nil"/>
              <w:bottom w:val="single" w:sz="8" w:space="0" w:color="auto"/>
              <w:right w:val="single" w:sz="8" w:space="0" w:color="auto"/>
            </w:tcBorders>
            <w:tcMar>
              <w:top w:w="0" w:type="dxa"/>
              <w:left w:w="108" w:type="dxa"/>
              <w:bottom w:w="0" w:type="dxa"/>
              <w:right w:w="108" w:type="dxa"/>
            </w:tcMar>
            <w:hideMark/>
          </w:tcPr>
          <w:p w:rsidR="00C152E3" w:rsidRPr="003D7135" w:rsidRDefault="00C152E3">
            <w:pPr>
              <w:rPr>
                <w:rFonts w:ascii="Verdana" w:hAnsi="Verdana"/>
                <w:sz w:val="18"/>
                <w:szCs w:val="18"/>
              </w:rPr>
            </w:pPr>
            <w:r w:rsidRPr="003D7135">
              <w:rPr>
                <w:rFonts w:ascii="Verdana" w:hAnsi="Verdana"/>
                <w:sz w:val="18"/>
                <w:szCs w:val="18"/>
              </w:rPr>
              <w:t>Obtain ethical approval for the study, and institutional approval from the targeted health centers.</w:t>
            </w:r>
          </w:p>
        </w:tc>
        <w:tc>
          <w:tcPr>
            <w:tcW w:w="1442" w:type="dxa"/>
            <w:tcBorders>
              <w:top w:val="nil"/>
              <w:left w:val="nil"/>
              <w:bottom w:val="single" w:sz="8" w:space="0" w:color="auto"/>
              <w:right w:val="single" w:sz="8" w:space="0" w:color="auto"/>
            </w:tcBorders>
            <w:tcMar>
              <w:top w:w="0" w:type="dxa"/>
              <w:left w:w="108" w:type="dxa"/>
              <w:bottom w:w="0" w:type="dxa"/>
              <w:right w:w="108" w:type="dxa"/>
            </w:tcMar>
            <w:hideMark/>
          </w:tcPr>
          <w:p w:rsidR="00C152E3" w:rsidRPr="003D7135" w:rsidRDefault="00C152E3">
            <w:pPr>
              <w:rPr>
                <w:rFonts w:ascii="Verdana" w:hAnsi="Verdana"/>
                <w:sz w:val="18"/>
                <w:szCs w:val="18"/>
              </w:rPr>
            </w:pPr>
            <w:r w:rsidRPr="003D7135">
              <w:rPr>
                <w:rFonts w:ascii="Verdana" w:hAnsi="Verdana"/>
                <w:sz w:val="18"/>
                <w:szCs w:val="18"/>
              </w:rPr>
              <w:t>PI and core team</w:t>
            </w:r>
          </w:p>
        </w:tc>
        <w:tc>
          <w:tcPr>
            <w:tcW w:w="4053" w:type="dxa"/>
            <w:tcBorders>
              <w:top w:val="nil"/>
              <w:left w:val="nil"/>
              <w:bottom w:val="single" w:sz="8" w:space="0" w:color="auto"/>
              <w:right w:val="single" w:sz="8" w:space="0" w:color="auto"/>
            </w:tcBorders>
            <w:tcMar>
              <w:top w:w="0" w:type="dxa"/>
              <w:left w:w="108" w:type="dxa"/>
              <w:bottom w:w="0" w:type="dxa"/>
              <w:right w:w="108" w:type="dxa"/>
            </w:tcMar>
            <w:hideMark/>
          </w:tcPr>
          <w:p w:rsidR="00C152E3" w:rsidRPr="003D7135" w:rsidRDefault="00C152E3" w:rsidP="00C152E3">
            <w:pPr>
              <w:rPr>
                <w:rFonts w:ascii="Verdana" w:hAnsi="Verdana"/>
                <w:sz w:val="18"/>
                <w:szCs w:val="18"/>
              </w:rPr>
            </w:pPr>
          </w:p>
        </w:tc>
      </w:tr>
      <w:tr w:rsidR="00010E83" w:rsidRPr="003D7135" w:rsidTr="003D7135">
        <w:tc>
          <w:tcPr>
            <w:tcW w:w="95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C6B50" w:rsidRPr="003D7135" w:rsidRDefault="007C6B50" w:rsidP="003D7135">
            <w:pPr>
              <w:pStyle w:val="Lijstalinea"/>
              <w:numPr>
                <w:ilvl w:val="0"/>
                <w:numId w:val="2"/>
              </w:numPr>
              <w:ind w:left="426"/>
              <w:rPr>
                <w:rFonts w:ascii="Verdana" w:hAnsi="Verdana"/>
                <w:sz w:val="18"/>
                <w:szCs w:val="18"/>
              </w:rPr>
            </w:pPr>
          </w:p>
        </w:tc>
        <w:tc>
          <w:tcPr>
            <w:tcW w:w="2834" w:type="dxa"/>
            <w:tcBorders>
              <w:top w:val="nil"/>
              <w:left w:val="nil"/>
              <w:bottom w:val="single" w:sz="8" w:space="0" w:color="auto"/>
              <w:right w:val="single" w:sz="8" w:space="0" w:color="auto"/>
            </w:tcBorders>
            <w:tcMar>
              <w:top w:w="0" w:type="dxa"/>
              <w:left w:w="108" w:type="dxa"/>
              <w:bottom w:w="0" w:type="dxa"/>
              <w:right w:w="108" w:type="dxa"/>
            </w:tcMar>
            <w:hideMark/>
          </w:tcPr>
          <w:p w:rsidR="00210E85" w:rsidRPr="003D7135" w:rsidRDefault="00210E85">
            <w:pPr>
              <w:rPr>
                <w:rFonts w:ascii="Verdana" w:hAnsi="Verdana"/>
                <w:sz w:val="18"/>
                <w:szCs w:val="18"/>
              </w:rPr>
            </w:pPr>
            <w:r w:rsidRPr="003D7135">
              <w:rPr>
                <w:rFonts w:ascii="Verdana" w:hAnsi="Verdana"/>
                <w:sz w:val="18"/>
                <w:szCs w:val="18"/>
              </w:rPr>
              <w:t xml:space="preserve">Collect information about the number of patients in each of the 2 TB and 3 MDR TB patient groups (see Question </w:t>
            </w:r>
            <w:r w:rsidRPr="003D7135">
              <w:rPr>
                <w:rFonts w:ascii="Verdana" w:hAnsi="Verdana"/>
                <w:i/>
                <w:iCs/>
                <w:sz w:val="18"/>
                <w:szCs w:val="18"/>
              </w:rPr>
              <w:t>j</w:t>
            </w:r>
            <w:r w:rsidRPr="003D7135">
              <w:rPr>
                <w:rFonts w:ascii="Verdana" w:hAnsi="Verdana"/>
                <w:sz w:val="18"/>
                <w:szCs w:val="18"/>
              </w:rPr>
              <w:t xml:space="preserve"> on first page of generic questionnaire).</w:t>
            </w:r>
          </w:p>
        </w:tc>
        <w:tc>
          <w:tcPr>
            <w:tcW w:w="1442" w:type="dxa"/>
            <w:tcBorders>
              <w:top w:val="nil"/>
              <w:left w:val="nil"/>
              <w:bottom w:val="single" w:sz="8" w:space="0" w:color="auto"/>
              <w:right w:val="single" w:sz="8" w:space="0" w:color="auto"/>
            </w:tcBorders>
            <w:tcMar>
              <w:top w:w="0" w:type="dxa"/>
              <w:left w:w="108" w:type="dxa"/>
              <w:bottom w:w="0" w:type="dxa"/>
              <w:right w:w="108" w:type="dxa"/>
            </w:tcMar>
            <w:hideMark/>
          </w:tcPr>
          <w:p w:rsidR="00210E85" w:rsidRPr="003D7135" w:rsidRDefault="00210E85">
            <w:pPr>
              <w:rPr>
                <w:rFonts w:ascii="Verdana" w:hAnsi="Verdana"/>
                <w:sz w:val="18"/>
                <w:szCs w:val="18"/>
              </w:rPr>
            </w:pPr>
            <w:r w:rsidRPr="003D7135">
              <w:rPr>
                <w:rFonts w:ascii="Verdana" w:hAnsi="Verdana"/>
                <w:sz w:val="18"/>
                <w:szCs w:val="18"/>
              </w:rPr>
              <w:t>PI and core team</w:t>
            </w:r>
          </w:p>
        </w:tc>
        <w:tc>
          <w:tcPr>
            <w:tcW w:w="4053" w:type="dxa"/>
            <w:tcBorders>
              <w:top w:val="nil"/>
              <w:left w:val="nil"/>
              <w:bottom w:val="single" w:sz="8" w:space="0" w:color="auto"/>
              <w:right w:val="single" w:sz="8" w:space="0" w:color="auto"/>
            </w:tcBorders>
            <w:tcMar>
              <w:top w:w="0" w:type="dxa"/>
              <w:left w:w="108" w:type="dxa"/>
              <w:bottom w:w="0" w:type="dxa"/>
              <w:right w:w="108" w:type="dxa"/>
            </w:tcMar>
            <w:hideMark/>
          </w:tcPr>
          <w:p w:rsidR="0096559A" w:rsidRPr="003D7135" w:rsidRDefault="0096559A" w:rsidP="00757AB5">
            <w:pPr>
              <w:rPr>
                <w:rFonts w:ascii="Verdana" w:hAnsi="Verdana"/>
                <w:sz w:val="18"/>
                <w:szCs w:val="18"/>
              </w:rPr>
            </w:pPr>
            <w:r w:rsidRPr="003D7135">
              <w:rPr>
                <w:rFonts w:ascii="Verdana" w:hAnsi="Verdana"/>
                <w:sz w:val="18"/>
                <w:szCs w:val="18"/>
              </w:rPr>
              <w:t>First select health facilities to be included. Then make a list of eligible patients per patient group</w:t>
            </w:r>
            <w:r w:rsidR="00757AB5" w:rsidRPr="003D7135">
              <w:rPr>
                <w:rFonts w:ascii="Verdana" w:hAnsi="Verdana"/>
                <w:sz w:val="18"/>
                <w:szCs w:val="18"/>
              </w:rPr>
              <w:t xml:space="preserve"> from (MDR suspect and MDR)TB patient registers</w:t>
            </w:r>
            <w:r w:rsidRPr="003D7135">
              <w:rPr>
                <w:rFonts w:ascii="Verdana" w:hAnsi="Verdana"/>
                <w:sz w:val="18"/>
                <w:szCs w:val="18"/>
              </w:rPr>
              <w:t xml:space="preserve">. </w:t>
            </w:r>
            <w:r w:rsidR="00210E85" w:rsidRPr="003D7135">
              <w:rPr>
                <w:rFonts w:ascii="Verdana" w:hAnsi="Verdana"/>
                <w:sz w:val="18"/>
                <w:szCs w:val="18"/>
              </w:rPr>
              <w:t>Number of patients per group should ideally be</w:t>
            </w:r>
            <w:r w:rsidRPr="003D7135">
              <w:rPr>
                <w:rFonts w:ascii="Verdana" w:hAnsi="Verdana"/>
                <w:sz w:val="18"/>
                <w:szCs w:val="18"/>
              </w:rPr>
              <w:t xml:space="preserve"> 50</w:t>
            </w:r>
            <w:r w:rsidR="00210E85" w:rsidRPr="003D7135">
              <w:rPr>
                <w:rFonts w:ascii="Verdana" w:hAnsi="Verdana"/>
                <w:sz w:val="18"/>
                <w:szCs w:val="18"/>
              </w:rPr>
              <w:t>.</w:t>
            </w:r>
            <w:r w:rsidR="00C152E3" w:rsidRPr="003D7135">
              <w:rPr>
                <w:rFonts w:ascii="Verdana" w:hAnsi="Verdana"/>
                <w:sz w:val="18"/>
                <w:szCs w:val="18"/>
              </w:rPr>
              <w:t xml:space="preserve"> If the numbers per eligible group are much larger, make a </w:t>
            </w:r>
            <w:r w:rsidR="00757AB5" w:rsidRPr="003D7135">
              <w:rPr>
                <w:rFonts w:ascii="Verdana" w:hAnsi="Verdana"/>
                <w:sz w:val="18"/>
                <w:szCs w:val="18"/>
              </w:rPr>
              <w:t xml:space="preserve">(preferably) </w:t>
            </w:r>
            <w:r w:rsidR="00C152E3" w:rsidRPr="003D7135">
              <w:rPr>
                <w:rFonts w:ascii="Verdana" w:hAnsi="Verdana"/>
                <w:sz w:val="18"/>
                <w:szCs w:val="18"/>
              </w:rPr>
              <w:t xml:space="preserve">random selection </w:t>
            </w:r>
            <w:r w:rsidR="00757AB5" w:rsidRPr="003D7135">
              <w:rPr>
                <w:rFonts w:ascii="Verdana" w:hAnsi="Verdana"/>
                <w:sz w:val="18"/>
                <w:szCs w:val="18"/>
              </w:rPr>
              <w:t>and/o</w:t>
            </w:r>
            <w:r w:rsidR="00C152E3" w:rsidRPr="003D7135">
              <w:rPr>
                <w:rFonts w:ascii="Verdana" w:hAnsi="Verdana"/>
                <w:sz w:val="18"/>
                <w:szCs w:val="18"/>
              </w:rPr>
              <w:t>r stop inclusion after having reached the target number.</w:t>
            </w:r>
          </w:p>
        </w:tc>
      </w:tr>
      <w:tr w:rsidR="00010E83" w:rsidRPr="003D7135" w:rsidTr="003D7135">
        <w:tc>
          <w:tcPr>
            <w:tcW w:w="95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C6B50" w:rsidRPr="003D7135" w:rsidRDefault="007C6B50" w:rsidP="003D7135">
            <w:pPr>
              <w:pStyle w:val="Lijstalinea"/>
              <w:numPr>
                <w:ilvl w:val="0"/>
                <w:numId w:val="2"/>
              </w:numPr>
              <w:ind w:left="426"/>
              <w:rPr>
                <w:rFonts w:ascii="Verdana" w:hAnsi="Verdana"/>
                <w:sz w:val="18"/>
                <w:szCs w:val="18"/>
              </w:rPr>
            </w:pPr>
          </w:p>
        </w:tc>
        <w:tc>
          <w:tcPr>
            <w:tcW w:w="2834" w:type="dxa"/>
            <w:tcBorders>
              <w:top w:val="nil"/>
              <w:left w:val="nil"/>
              <w:bottom w:val="single" w:sz="8" w:space="0" w:color="auto"/>
              <w:right w:val="single" w:sz="8" w:space="0" w:color="auto"/>
            </w:tcBorders>
            <w:tcMar>
              <w:top w:w="0" w:type="dxa"/>
              <w:left w:w="108" w:type="dxa"/>
              <w:bottom w:w="0" w:type="dxa"/>
              <w:right w:w="108" w:type="dxa"/>
            </w:tcMar>
            <w:hideMark/>
          </w:tcPr>
          <w:p w:rsidR="00210E85" w:rsidRPr="003D7135" w:rsidRDefault="00210E85">
            <w:pPr>
              <w:rPr>
                <w:rFonts w:ascii="Verdana" w:hAnsi="Verdana"/>
                <w:sz w:val="18"/>
                <w:szCs w:val="18"/>
              </w:rPr>
            </w:pPr>
            <w:r w:rsidRPr="003D7135">
              <w:rPr>
                <w:rFonts w:ascii="Verdana" w:hAnsi="Verdana"/>
                <w:sz w:val="18"/>
                <w:szCs w:val="18"/>
              </w:rPr>
              <w:t xml:space="preserve">Review answer options for at least the Questions f, Q3, Q4, as </w:t>
            </w:r>
            <w:r w:rsidRPr="003D7135">
              <w:rPr>
                <w:rFonts w:ascii="Verdana" w:hAnsi="Verdana"/>
                <w:sz w:val="18"/>
                <w:szCs w:val="18"/>
                <w:u w:val="single"/>
              </w:rPr>
              <w:t>these should describe your study population appropriately</w:t>
            </w:r>
            <w:r w:rsidRPr="003D7135">
              <w:rPr>
                <w:rFonts w:ascii="Verdana" w:hAnsi="Verdana"/>
                <w:sz w:val="18"/>
                <w:szCs w:val="18"/>
              </w:rPr>
              <w:t xml:space="preserve"> (thus, this should result in a few categories that are sufficiently large in numbers and sufficiently different in general characteristics). Revise into approximately the same number of categories as suggested in the generic questionnaire.</w:t>
            </w:r>
          </w:p>
        </w:tc>
        <w:tc>
          <w:tcPr>
            <w:tcW w:w="1442" w:type="dxa"/>
            <w:tcBorders>
              <w:top w:val="nil"/>
              <w:left w:val="nil"/>
              <w:bottom w:val="single" w:sz="8" w:space="0" w:color="auto"/>
              <w:right w:val="single" w:sz="8" w:space="0" w:color="auto"/>
            </w:tcBorders>
            <w:tcMar>
              <w:top w:w="0" w:type="dxa"/>
              <w:left w:w="108" w:type="dxa"/>
              <w:bottom w:w="0" w:type="dxa"/>
              <w:right w:w="108" w:type="dxa"/>
            </w:tcMar>
            <w:hideMark/>
          </w:tcPr>
          <w:p w:rsidR="00210E85" w:rsidRPr="003D7135" w:rsidRDefault="00210E85">
            <w:pPr>
              <w:rPr>
                <w:rFonts w:ascii="Verdana" w:hAnsi="Verdana"/>
                <w:sz w:val="18"/>
                <w:szCs w:val="18"/>
              </w:rPr>
            </w:pPr>
            <w:r w:rsidRPr="003D7135">
              <w:rPr>
                <w:rFonts w:ascii="Verdana" w:hAnsi="Verdana"/>
                <w:sz w:val="18"/>
                <w:szCs w:val="18"/>
              </w:rPr>
              <w:t>PI and core team</w:t>
            </w:r>
          </w:p>
        </w:tc>
        <w:tc>
          <w:tcPr>
            <w:tcW w:w="4053" w:type="dxa"/>
            <w:tcBorders>
              <w:top w:val="nil"/>
              <w:left w:val="nil"/>
              <w:bottom w:val="single" w:sz="8" w:space="0" w:color="auto"/>
              <w:right w:val="single" w:sz="8" w:space="0" w:color="auto"/>
            </w:tcBorders>
            <w:tcMar>
              <w:top w:w="0" w:type="dxa"/>
              <w:left w:w="108" w:type="dxa"/>
              <w:bottom w:w="0" w:type="dxa"/>
              <w:right w:w="108" w:type="dxa"/>
            </w:tcMar>
            <w:hideMark/>
          </w:tcPr>
          <w:p w:rsidR="00210E85" w:rsidRPr="003D7135" w:rsidRDefault="00210E85">
            <w:pPr>
              <w:rPr>
                <w:rFonts w:ascii="Verdana" w:hAnsi="Verdana"/>
                <w:sz w:val="18"/>
                <w:szCs w:val="18"/>
              </w:rPr>
            </w:pPr>
            <w:r w:rsidRPr="003D7135">
              <w:rPr>
                <w:rFonts w:ascii="Verdana" w:hAnsi="Verdana"/>
                <w:sz w:val="18"/>
                <w:szCs w:val="18"/>
              </w:rPr>
              <w:t>Also revise answer options for question j if only TB (reduce to 2 options) or MDR TB (reduce to 3 options) patients will be included.</w:t>
            </w:r>
          </w:p>
          <w:p w:rsidR="00210E85" w:rsidRPr="003D7135" w:rsidRDefault="00210E85">
            <w:pPr>
              <w:rPr>
                <w:rFonts w:ascii="Verdana" w:hAnsi="Verdana"/>
                <w:sz w:val="18"/>
                <w:szCs w:val="18"/>
              </w:rPr>
            </w:pPr>
            <w:r w:rsidRPr="003D7135">
              <w:rPr>
                <w:rFonts w:ascii="Verdana" w:hAnsi="Verdana"/>
                <w:sz w:val="18"/>
                <w:szCs w:val="18"/>
              </w:rPr>
              <w:t>Also consider to review and revise if necessary the answer options for Q5, Q12c, Q15a, Q16a, Q24b, and Q26. To maximize comparability over study populations, we suggest NOT to revise answer options if not considered strictly necessary.</w:t>
            </w:r>
          </w:p>
        </w:tc>
      </w:tr>
      <w:tr w:rsidR="003D7135" w:rsidRPr="003D7135" w:rsidTr="003D7135">
        <w:tc>
          <w:tcPr>
            <w:tcW w:w="95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D7135" w:rsidRPr="003D7135" w:rsidRDefault="003D7135" w:rsidP="003D7135">
            <w:pPr>
              <w:pStyle w:val="Lijstalinea"/>
              <w:numPr>
                <w:ilvl w:val="0"/>
                <w:numId w:val="2"/>
              </w:numPr>
              <w:ind w:left="426"/>
              <w:rPr>
                <w:rFonts w:ascii="Verdana" w:hAnsi="Verdana"/>
                <w:sz w:val="18"/>
                <w:szCs w:val="18"/>
              </w:rPr>
            </w:pPr>
          </w:p>
        </w:tc>
        <w:tc>
          <w:tcPr>
            <w:tcW w:w="2834" w:type="dxa"/>
            <w:tcBorders>
              <w:top w:val="nil"/>
              <w:left w:val="nil"/>
              <w:bottom w:val="single" w:sz="8" w:space="0" w:color="auto"/>
              <w:right w:val="single" w:sz="8" w:space="0" w:color="auto"/>
            </w:tcBorders>
            <w:tcMar>
              <w:top w:w="0" w:type="dxa"/>
              <w:left w:w="108" w:type="dxa"/>
              <w:bottom w:w="0" w:type="dxa"/>
              <w:right w:w="108" w:type="dxa"/>
            </w:tcMar>
            <w:hideMark/>
          </w:tcPr>
          <w:p w:rsidR="003D7135" w:rsidRPr="003D7135" w:rsidRDefault="003D7135" w:rsidP="00707C2B">
            <w:pPr>
              <w:rPr>
                <w:rFonts w:ascii="Verdana" w:hAnsi="Verdana"/>
                <w:sz w:val="18"/>
                <w:szCs w:val="18"/>
              </w:rPr>
            </w:pPr>
            <w:r w:rsidRPr="003D7135">
              <w:rPr>
                <w:rFonts w:ascii="Verdana" w:hAnsi="Verdana"/>
                <w:sz w:val="18"/>
                <w:szCs w:val="18"/>
              </w:rPr>
              <w:t>Translate the revised questionnaire into the local language of the study population</w:t>
            </w:r>
          </w:p>
        </w:tc>
        <w:tc>
          <w:tcPr>
            <w:tcW w:w="1442" w:type="dxa"/>
            <w:tcBorders>
              <w:top w:val="nil"/>
              <w:left w:val="nil"/>
              <w:bottom w:val="single" w:sz="8" w:space="0" w:color="auto"/>
              <w:right w:val="single" w:sz="8" w:space="0" w:color="auto"/>
            </w:tcBorders>
            <w:tcMar>
              <w:top w:w="0" w:type="dxa"/>
              <w:left w:w="108" w:type="dxa"/>
              <w:bottom w:w="0" w:type="dxa"/>
              <w:right w:w="108" w:type="dxa"/>
            </w:tcMar>
            <w:hideMark/>
          </w:tcPr>
          <w:p w:rsidR="003D7135" w:rsidRPr="003D7135" w:rsidRDefault="003D7135" w:rsidP="00707C2B">
            <w:pPr>
              <w:rPr>
                <w:rFonts w:ascii="Verdana" w:hAnsi="Verdana"/>
                <w:sz w:val="18"/>
                <w:szCs w:val="18"/>
              </w:rPr>
            </w:pPr>
            <w:r w:rsidRPr="003D7135">
              <w:rPr>
                <w:rFonts w:ascii="Verdana" w:hAnsi="Verdana"/>
                <w:sz w:val="18"/>
                <w:szCs w:val="18"/>
              </w:rPr>
              <w:t>PI and translator 1</w:t>
            </w:r>
          </w:p>
        </w:tc>
        <w:tc>
          <w:tcPr>
            <w:tcW w:w="4053" w:type="dxa"/>
            <w:tcBorders>
              <w:top w:val="nil"/>
              <w:left w:val="nil"/>
              <w:bottom w:val="single" w:sz="8" w:space="0" w:color="auto"/>
              <w:right w:val="single" w:sz="8" w:space="0" w:color="auto"/>
            </w:tcBorders>
            <w:tcMar>
              <w:top w:w="0" w:type="dxa"/>
              <w:left w:w="108" w:type="dxa"/>
              <w:bottom w:w="0" w:type="dxa"/>
              <w:right w:w="108" w:type="dxa"/>
            </w:tcMar>
            <w:hideMark/>
          </w:tcPr>
          <w:p w:rsidR="003D7135" w:rsidRPr="003D7135" w:rsidRDefault="003D7135" w:rsidP="00707C2B">
            <w:pPr>
              <w:rPr>
                <w:rFonts w:ascii="Verdana" w:hAnsi="Verdana"/>
                <w:sz w:val="18"/>
                <w:szCs w:val="18"/>
              </w:rPr>
            </w:pPr>
            <w:r w:rsidRPr="003D7135">
              <w:rPr>
                <w:rFonts w:ascii="Verdana" w:hAnsi="Verdana"/>
                <w:sz w:val="18"/>
                <w:szCs w:val="18"/>
              </w:rPr>
              <w:t>The language used is an important component to guarantee that the questions are properly understood and adequately answered, especially when interviewing vulnerable populations such as ethnic minorities, the very poor, migrants, and refugees. Unless the population to be interviewed is native English speaking, the questionnaire needs to be translated.</w:t>
            </w:r>
          </w:p>
          <w:p w:rsidR="003D7135" w:rsidRPr="003D7135" w:rsidRDefault="003D7135" w:rsidP="00707C2B">
            <w:pPr>
              <w:rPr>
                <w:rFonts w:ascii="Verdana" w:hAnsi="Verdana"/>
                <w:sz w:val="18"/>
                <w:szCs w:val="18"/>
              </w:rPr>
            </w:pPr>
            <w:r w:rsidRPr="003D7135">
              <w:rPr>
                <w:rFonts w:ascii="Verdana" w:hAnsi="Verdana"/>
                <w:sz w:val="18"/>
                <w:szCs w:val="18"/>
              </w:rPr>
              <w:t>The translation is best done by someone who understands the objective of the questionnaire, the intent of the questions and who speaks both languages fluently PI to check translations for accuracy and correctness.</w:t>
            </w:r>
          </w:p>
        </w:tc>
      </w:tr>
    </w:tbl>
    <w:p w:rsidR="003D7135" w:rsidRDefault="003D7135"/>
    <w:tbl>
      <w:tblPr>
        <w:tblW w:w="0" w:type="auto"/>
        <w:tblLayout w:type="fixed"/>
        <w:tblCellMar>
          <w:left w:w="0" w:type="dxa"/>
          <w:right w:w="0" w:type="dxa"/>
        </w:tblCellMar>
        <w:tblLook w:val="04A0"/>
      </w:tblPr>
      <w:tblGrid>
        <w:gridCol w:w="959"/>
        <w:gridCol w:w="2834"/>
        <w:gridCol w:w="1442"/>
        <w:gridCol w:w="4053"/>
      </w:tblGrid>
      <w:tr w:rsidR="003D7135" w:rsidRPr="003D7135" w:rsidTr="003D7135">
        <w:tc>
          <w:tcPr>
            <w:tcW w:w="95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3D7135" w:rsidRPr="003D7135" w:rsidRDefault="003D7135" w:rsidP="00707C2B">
            <w:pPr>
              <w:rPr>
                <w:rFonts w:ascii="Verdana" w:hAnsi="Verdana"/>
                <w:b/>
                <w:bCs/>
                <w:sz w:val="18"/>
                <w:szCs w:val="18"/>
              </w:rPr>
            </w:pPr>
            <w:r w:rsidRPr="003D7135">
              <w:rPr>
                <w:rFonts w:ascii="Verdana" w:hAnsi="Verdana"/>
                <w:b/>
                <w:bCs/>
                <w:sz w:val="18"/>
                <w:szCs w:val="18"/>
              </w:rPr>
              <w:t>Step</w:t>
            </w:r>
          </w:p>
        </w:tc>
        <w:tc>
          <w:tcPr>
            <w:tcW w:w="28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D7135" w:rsidRPr="003D7135" w:rsidRDefault="003D7135" w:rsidP="00707C2B">
            <w:pPr>
              <w:rPr>
                <w:rFonts w:ascii="Verdana" w:hAnsi="Verdana"/>
                <w:b/>
                <w:bCs/>
                <w:sz w:val="18"/>
                <w:szCs w:val="18"/>
              </w:rPr>
            </w:pPr>
            <w:r w:rsidRPr="003D7135">
              <w:rPr>
                <w:rFonts w:ascii="Verdana" w:hAnsi="Verdana"/>
                <w:b/>
                <w:bCs/>
                <w:sz w:val="18"/>
                <w:szCs w:val="18"/>
              </w:rPr>
              <w:t>Description</w:t>
            </w:r>
          </w:p>
        </w:tc>
        <w:tc>
          <w:tcPr>
            <w:tcW w:w="144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D7135" w:rsidRPr="003D7135" w:rsidRDefault="003D7135" w:rsidP="00707C2B">
            <w:pPr>
              <w:rPr>
                <w:rFonts w:ascii="Verdana" w:hAnsi="Verdana"/>
                <w:b/>
                <w:bCs/>
                <w:sz w:val="18"/>
                <w:szCs w:val="18"/>
              </w:rPr>
            </w:pPr>
            <w:r w:rsidRPr="003D7135">
              <w:rPr>
                <w:rFonts w:ascii="Verdana" w:hAnsi="Verdana"/>
                <w:b/>
                <w:bCs/>
                <w:sz w:val="18"/>
                <w:szCs w:val="18"/>
              </w:rPr>
              <w:t>Responsible</w:t>
            </w:r>
          </w:p>
        </w:tc>
        <w:tc>
          <w:tcPr>
            <w:tcW w:w="405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3D7135" w:rsidRPr="003D7135" w:rsidRDefault="003D7135" w:rsidP="00707C2B">
            <w:pPr>
              <w:rPr>
                <w:rFonts w:ascii="Verdana" w:hAnsi="Verdana"/>
                <w:b/>
                <w:bCs/>
                <w:sz w:val="18"/>
                <w:szCs w:val="18"/>
              </w:rPr>
            </w:pPr>
            <w:r w:rsidRPr="003D7135">
              <w:rPr>
                <w:rFonts w:ascii="Verdana" w:hAnsi="Verdana"/>
                <w:b/>
                <w:bCs/>
                <w:sz w:val="18"/>
                <w:szCs w:val="18"/>
              </w:rPr>
              <w:t>Remarks</w:t>
            </w:r>
          </w:p>
        </w:tc>
      </w:tr>
      <w:tr w:rsidR="00010E83" w:rsidRPr="003D7135" w:rsidTr="003D7135">
        <w:tc>
          <w:tcPr>
            <w:tcW w:w="95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C6B50" w:rsidRPr="003D7135" w:rsidRDefault="007C6B50" w:rsidP="003D7135">
            <w:pPr>
              <w:pStyle w:val="Lijstalinea"/>
              <w:numPr>
                <w:ilvl w:val="0"/>
                <w:numId w:val="2"/>
              </w:numPr>
              <w:ind w:left="426"/>
              <w:rPr>
                <w:rFonts w:ascii="Verdana" w:hAnsi="Verdana"/>
                <w:sz w:val="18"/>
                <w:szCs w:val="18"/>
              </w:rPr>
            </w:pPr>
          </w:p>
        </w:tc>
        <w:tc>
          <w:tcPr>
            <w:tcW w:w="2834" w:type="dxa"/>
            <w:tcBorders>
              <w:top w:val="nil"/>
              <w:left w:val="nil"/>
              <w:bottom w:val="single" w:sz="8" w:space="0" w:color="auto"/>
              <w:right w:val="single" w:sz="8" w:space="0" w:color="auto"/>
            </w:tcBorders>
            <w:tcMar>
              <w:top w:w="0" w:type="dxa"/>
              <w:left w:w="108" w:type="dxa"/>
              <w:bottom w:w="0" w:type="dxa"/>
              <w:right w:w="108" w:type="dxa"/>
            </w:tcMar>
            <w:hideMark/>
          </w:tcPr>
          <w:p w:rsidR="00210E85" w:rsidRPr="003D7135" w:rsidRDefault="00210E85">
            <w:pPr>
              <w:rPr>
                <w:rFonts w:ascii="Verdana" w:hAnsi="Verdana"/>
                <w:sz w:val="18"/>
                <w:szCs w:val="18"/>
              </w:rPr>
            </w:pPr>
            <w:r w:rsidRPr="003D7135">
              <w:rPr>
                <w:rFonts w:ascii="Verdana" w:hAnsi="Verdana"/>
                <w:sz w:val="18"/>
                <w:szCs w:val="18"/>
              </w:rPr>
              <w:t xml:space="preserve">Translate the revised questionnaire back into English </w:t>
            </w:r>
          </w:p>
        </w:tc>
        <w:tc>
          <w:tcPr>
            <w:tcW w:w="1442" w:type="dxa"/>
            <w:tcBorders>
              <w:top w:val="nil"/>
              <w:left w:val="nil"/>
              <w:bottom w:val="single" w:sz="8" w:space="0" w:color="auto"/>
              <w:right w:val="single" w:sz="8" w:space="0" w:color="auto"/>
            </w:tcBorders>
            <w:tcMar>
              <w:top w:w="0" w:type="dxa"/>
              <w:left w:w="108" w:type="dxa"/>
              <w:bottom w:w="0" w:type="dxa"/>
              <w:right w:w="108" w:type="dxa"/>
            </w:tcMar>
            <w:hideMark/>
          </w:tcPr>
          <w:p w:rsidR="00210E85" w:rsidRPr="003D7135" w:rsidRDefault="00210E85">
            <w:pPr>
              <w:rPr>
                <w:rFonts w:ascii="Verdana" w:hAnsi="Verdana"/>
                <w:sz w:val="18"/>
                <w:szCs w:val="18"/>
              </w:rPr>
            </w:pPr>
            <w:r w:rsidRPr="003D7135">
              <w:rPr>
                <w:rFonts w:ascii="Verdana" w:hAnsi="Verdana"/>
                <w:sz w:val="18"/>
                <w:szCs w:val="18"/>
              </w:rPr>
              <w:t>PI and a DIFFERENT translator 2</w:t>
            </w:r>
            <w:r w:rsidR="00010E83" w:rsidRPr="003D7135">
              <w:rPr>
                <w:rFonts w:ascii="Verdana" w:hAnsi="Verdana"/>
                <w:sz w:val="18"/>
                <w:szCs w:val="18"/>
              </w:rPr>
              <w:t xml:space="preserve"> who has not seen the original version of the questionnaire </w:t>
            </w:r>
          </w:p>
        </w:tc>
        <w:tc>
          <w:tcPr>
            <w:tcW w:w="4053" w:type="dxa"/>
            <w:tcBorders>
              <w:top w:val="nil"/>
              <w:left w:val="nil"/>
              <w:bottom w:val="single" w:sz="8" w:space="0" w:color="auto"/>
              <w:right w:val="single" w:sz="8" w:space="0" w:color="auto"/>
            </w:tcBorders>
            <w:tcMar>
              <w:top w:w="0" w:type="dxa"/>
              <w:left w:w="108" w:type="dxa"/>
              <w:bottom w:w="0" w:type="dxa"/>
              <w:right w:w="108" w:type="dxa"/>
            </w:tcMar>
            <w:hideMark/>
          </w:tcPr>
          <w:p w:rsidR="00010E83" w:rsidRPr="003D7135" w:rsidRDefault="00210E85" w:rsidP="00FE23B0">
            <w:pPr>
              <w:rPr>
                <w:rFonts w:ascii="Verdana" w:hAnsi="Verdana"/>
                <w:sz w:val="18"/>
                <w:szCs w:val="18"/>
              </w:rPr>
            </w:pPr>
            <w:r w:rsidRPr="003D7135">
              <w:rPr>
                <w:rFonts w:ascii="Verdana" w:hAnsi="Verdana"/>
                <w:sz w:val="18"/>
                <w:szCs w:val="18"/>
              </w:rPr>
              <w:t>PI to check translations for accuracy and correctness</w:t>
            </w:r>
            <w:r w:rsidR="00010E83" w:rsidRPr="003D7135">
              <w:rPr>
                <w:rFonts w:ascii="Verdana" w:hAnsi="Verdana"/>
                <w:sz w:val="18"/>
                <w:szCs w:val="18"/>
              </w:rPr>
              <w:t>,</w:t>
            </w:r>
          </w:p>
          <w:p w:rsidR="00210E85" w:rsidRPr="003D7135" w:rsidRDefault="00010E83" w:rsidP="00FE23B0">
            <w:pPr>
              <w:rPr>
                <w:rFonts w:ascii="Verdana" w:hAnsi="Verdana"/>
                <w:sz w:val="18"/>
                <w:szCs w:val="18"/>
              </w:rPr>
            </w:pPr>
            <w:r w:rsidRPr="003D7135">
              <w:rPr>
                <w:rFonts w:ascii="Verdana" w:hAnsi="Verdana" w:cs="Arial"/>
                <w:sz w:val="20"/>
                <w:szCs w:val="20"/>
              </w:rPr>
              <w:t>or have a bilingual peer compare both versions and evaluate the questions according to content, meaning and clarity of expression</w:t>
            </w:r>
          </w:p>
        </w:tc>
      </w:tr>
      <w:tr w:rsidR="00010E83" w:rsidRPr="003D7135" w:rsidTr="003D7135">
        <w:tc>
          <w:tcPr>
            <w:tcW w:w="95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C6B50" w:rsidRPr="003D7135" w:rsidRDefault="007C6B50" w:rsidP="003D7135">
            <w:pPr>
              <w:pStyle w:val="Lijstalinea"/>
              <w:numPr>
                <w:ilvl w:val="0"/>
                <w:numId w:val="2"/>
              </w:numPr>
              <w:ind w:left="426"/>
              <w:rPr>
                <w:rFonts w:ascii="Verdana" w:hAnsi="Verdana"/>
                <w:sz w:val="18"/>
                <w:szCs w:val="18"/>
              </w:rPr>
            </w:pPr>
          </w:p>
        </w:tc>
        <w:tc>
          <w:tcPr>
            <w:tcW w:w="2834" w:type="dxa"/>
            <w:tcBorders>
              <w:top w:val="nil"/>
              <w:left w:val="nil"/>
              <w:bottom w:val="single" w:sz="8" w:space="0" w:color="auto"/>
              <w:right w:val="single" w:sz="8" w:space="0" w:color="auto"/>
            </w:tcBorders>
            <w:tcMar>
              <w:top w:w="0" w:type="dxa"/>
              <w:left w:w="108" w:type="dxa"/>
              <w:bottom w:w="0" w:type="dxa"/>
              <w:right w:w="108" w:type="dxa"/>
            </w:tcMar>
            <w:hideMark/>
          </w:tcPr>
          <w:p w:rsidR="00210E85" w:rsidRPr="003D7135" w:rsidRDefault="00210E85">
            <w:pPr>
              <w:rPr>
                <w:rFonts w:ascii="Verdana" w:hAnsi="Verdana"/>
                <w:sz w:val="18"/>
                <w:szCs w:val="18"/>
              </w:rPr>
            </w:pPr>
            <w:r w:rsidRPr="003D7135">
              <w:rPr>
                <w:rFonts w:ascii="Verdana" w:hAnsi="Verdana"/>
                <w:sz w:val="18"/>
                <w:szCs w:val="18"/>
              </w:rPr>
              <w:t>Adjust incorrect/imprecise translations</w:t>
            </w:r>
          </w:p>
        </w:tc>
        <w:tc>
          <w:tcPr>
            <w:tcW w:w="1442" w:type="dxa"/>
            <w:tcBorders>
              <w:top w:val="nil"/>
              <w:left w:val="nil"/>
              <w:bottom w:val="single" w:sz="8" w:space="0" w:color="auto"/>
              <w:right w:val="single" w:sz="8" w:space="0" w:color="auto"/>
            </w:tcBorders>
            <w:tcMar>
              <w:top w:w="0" w:type="dxa"/>
              <w:left w:w="108" w:type="dxa"/>
              <w:bottom w:w="0" w:type="dxa"/>
              <w:right w:w="108" w:type="dxa"/>
            </w:tcMar>
            <w:hideMark/>
          </w:tcPr>
          <w:p w:rsidR="00210E85" w:rsidRPr="003D7135" w:rsidRDefault="00210E85">
            <w:pPr>
              <w:rPr>
                <w:rFonts w:ascii="Verdana" w:hAnsi="Verdana"/>
                <w:sz w:val="18"/>
                <w:szCs w:val="18"/>
              </w:rPr>
            </w:pPr>
            <w:r w:rsidRPr="003D7135">
              <w:rPr>
                <w:rFonts w:ascii="Verdana" w:hAnsi="Verdana"/>
                <w:sz w:val="18"/>
                <w:szCs w:val="18"/>
              </w:rPr>
              <w:t>PI and translator 1</w:t>
            </w:r>
          </w:p>
        </w:tc>
        <w:tc>
          <w:tcPr>
            <w:tcW w:w="4053" w:type="dxa"/>
            <w:tcBorders>
              <w:top w:val="nil"/>
              <w:left w:val="nil"/>
              <w:bottom w:val="single" w:sz="8" w:space="0" w:color="auto"/>
              <w:right w:val="single" w:sz="8" w:space="0" w:color="auto"/>
            </w:tcBorders>
            <w:tcMar>
              <w:top w:w="0" w:type="dxa"/>
              <w:left w:w="108" w:type="dxa"/>
              <w:bottom w:w="0" w:type="dxa"/>
              <w:right w:w="108" w:type="dxa"/>
            </w:tcMar>
          </w:tcPr>
          <w:p w:rsidR="00210E85" w:rsidRPr="003D7135" w:rsidRDefault="00210E85">
            <w:pPr>
              <w:rPr>
                <w:rFonts w:ascii="Verdana" w:hAnsi="Verdana"/>
                <w:sz w:val="18"/>
                <w:szCs w:val="18"/>
              </w:rPr>
            </w:pPr>
          </w:p>
        </w:tc>
      </w:tr>
      <w:tr w:rsidR="00010E83" w:rsidRPr="003D7135" w:rsidTr="003D7135">
        <w:tc>
          <w:tcPr>
            <w:tcW w:w="95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C6B50" w:rsidRPr="003D7135" w:rsidRDefault="007C6B50" w:rsidP="003D7135">
            <w:pPr>
              <w:pStyle w:val="Lijstalinea"/>
              <w:numPr>
                <w:ilvl w:val="0"/>
                <w:numId w:val="2"/>
              </w:numPr>
              <w:ind w:left="426"/>
              <w:rPr>
                <w:rFonts w:ascii="Verdana" w:hAnsi="Verdana"/>
                <w:sz w:val="18"/>
                <w:szCs w:val="18"/>
              </w:rPr>
            </w:pPr>
          </w:p>
        </w:tc>
        <w:tc>
          <w:tcPr>
            <w:tcW w:w="2834" w:type="dxa"/>
            <w:tcBorders>
              <w:top w:val="nil"/>
              <w:left w:val="nil"/>
              <w:bottom w:val="single" w:sz="8" w:space="0" w:color="auto"/>
              <w:right w:val="single" w:sz="8" w:space="0" w:color="auto"/>
            </w:tcBorders>
            <w:tcMar>
              <w:top w:w="0" w:type="dxa"/>
              <w:left w:w="108" w:type="dxa"/>
              <w:bottom w:w="0" w:type="dxa"/>
              <w:right w:w="108" w:type="dxa"/>
            </w:tcMar>
            <w:hideMark/>
          </w:tcPr>
          <w:p w:rsidR="00210E85" w:rsidRPr="003D7135" w:rsidRDefault="00210E85">
            <w:pPr>
              <w:rPr>
                <w:rFonts w:ascii="Verdana" w:hAnsi="Verdana"/>
                <w:sz w:val="18"/>
                <w:szCs w:val="18"/>
              </w:rPr>
            </w:pPr>
            <w:r w:rsidRPr="003D7135">
              <w:rPr>
                <w:rFonts w:ascii="Verdana" w:hAnsi="Verdana"/>
                <w:sz w:val="18"/>
                <w:szCs w:val="18"/>
              </w:rPr>
              <w:t>Check all cross-references for correctness, ask members of core project team to review the questionnaire</w:t>
            </w:r>
          </w:p>
        </w:tc>
        <w:tc>
          <w:tcPr>
            <w:tcW w:w="1442" w:type="dxa"/>
            <w:tcBorders>
              <w:top w:val="nil"/>
              <w:left w:val="nil"/>
              <w:bottom w:val="single" w:sz="8" w:space="0" w:color="auto"/>
              <w:right w:val="single" w:sz="8" w:space="0" w:color="auto"/>
            </w:tcBorders>
            <w:tcMar>
              <w:top w:w="0" w:type="dxa"/>
              <w:left w:w="108" w:type="dxa"/>
              <w:bottom w:w="0" w:type="dxa"/>
              <w:right w:w="108" w:type="dxa"/>
            </w:tcMar>
            <w:hideMark/>
          </w:tcPr>
          <w:p w:rsidR="00210E85" w:rsidRPr="003D7135" w:rsidRDefault="00210E85">
            <w:pPr>
              <w:rPr>
                <w:rFonts w:ascii="Verdana" w:hAnsi="Verdana"/>
                <w:sz w:val="18"/>
                <w:szCs w:val="18"/>
              </w:rPr>
            </w:pPr>
            <w:r w:rsidRPr="003D7135">
              <w:rPr>
                <w:rFonts w:ascii="Verdana" w:hAnsi="Verdana"/>
                <w:sz w:val="18"/>
                <w:szCs w:val="18"/>
              </w:rPr>
              <w:t>PI</w:t>
            </w:r>
          </w:p>
        </w:tc>
        <w:tc>
          <w:tcPr>
            <w:tcW w:w="4053" w:type="dxa"/>
            <w:tcBorders>
              <w:top w:val="nil"/>
              <w:left w:val="nil"/>
              <w:bottom w:val="single" w:sz="8" w:space="0" w:color="auto"/>
              <w:right w:val="single" w:sz="8" w:space="0" w:color="auto"/>
            </w:tcBorders>
            <w:tcMar>
              <w:top w:w="0" w:type="dxa"/>
              <w:left w:w="108" w:type="dxa"/>
              <w:bottom w:w="0" w:type="dxa"/>
              <w:right w:w="108" w:type="dxa"/>
            </w:tcMar>
          </w:tcPr>
          <w:p w:rsidR="00210E85" w:rsidRPr="003D7135" w:rsidRDefault="00210E85">
            <w:pPr>
              <w:rPr>
                <w:rFonts w:ascii="Verdana" w:hAnsi="Verdana"/>
                <w:sz w:val="18"/>
                <w:szCs w:val="18"/>
              </w:rPr>
            </w:pPr>
          </w:p>
        </w:tc>
      </w:tr>
      <w:tr w:rsidR="00010E83" w:rsidRPr="003D7135" w:rsidTr="003D7135">
        <w:tc>
          <w:tcPr>
            <w:tcW w:w="95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C6B50" w:rsidRPr="003D7135" w:rsidRDefault="007C6B50" w:rsidP="003D7135">
            <w:pPr>
              <w:pStyle w:val="Lijstalinea"/>
              <w:numPr>
                <w:ilvl w:val="0"/>
                <w:numId w:val="2"/>
              </w:numPr>
              <w:ind w:left="426"/>
              <w:rPr>
                <w:rFonts w:ascii="Verdana" w:hAnsi="Verdana"/>
                <w:sz w:val="18"/>
                <w:szCs w:val="18"/>
              </w:rPr>
            </w:pPr>
          </w:p>
        </w:tc>
        <w:tc>
          <w:tcPr>
            <w:tcW w:w="2834" w:type="dxa"/>
            <w:tcBorders>
              <w:top w:val="nil"/>
              <w:left w:val="nil"/>
              <w:bottom w:val="single" w:sz="8" w:space="0" w:color="auto"/>
              <w:right w:val="single" w:sz="8" w:space="0" w:color="auto"/>
            </w:tcBorders>
            <w:tcMar>
              <w:top w:w="0" w:type="dxa"/>
              <w:left w:w="108" w:type="dxa"/>
              <w:bottom w:w="0" w:type="dxa"/>
              <w:right w:w="108" w:type="dxa"/>
            </w:tcMar>
            <w:hideMark/>
          </w:tcPr>
          <w:p w:rsidR="00210E85" w:rsidRPr="003D7135" w:rsidRDefault="00210E85">
            <w:pPr>
              <w:rPr>
                <w:rFonts w:ascii="Verdana" w:hAnsi="Verdana"/>
                <w:sz w:val="18"/>
                <w:szCs w:val="18"/>
              </w:rPr>
            </w:pPr>
            <w:r w:rsidRPr="003D7135">
              <w:rPr>
                <w:rFonts w:ascii="Verdana" w:hAnsi="Verdana"/>
                <w:sz w:val="18"/>
                <w:szCs w:val="18"/>
              </w:rPr>
              <w:t>Train interviewers. Have interviewers check the questionnaire for consistency and comprehensiveness</w:t>
            </w:r>
          </w:p>
        </w:tc>
        <w:tc>
          <w:tcPr>
            <w:tcW w:w="1442" w:type="dxa"/>
            <w:tcBorders>
              <w:top w:val="nil"/>
              <w:left w:val="nil"/>
              <w:bottom w:val="single" w:sz="8" w:space="0" w:color="auto"/>
              <w:right w:val="single" w:sz="8" w:space="0" w:color="auto"/>
            </w:tcBorders>
            <w:tcMar>
              <w:top w:w="0" w:type="dxa"/>
              <w:left w:w="108" w:type="dxa"/>
              <w:bottom w:w="0" w:type="dxa"/>
              <w:right w:w="108" w:type="dxa"/>
            </w:tcMar>
            <w:hideMark/>
          </w:tcPr>
          <w:p w:rsidR="00210E85" w:rsidRPr="003D7135" w:rsidRDefault="00210E85">
            <w:pPr>
              <w:rPr>
                <w:rFonts w:ascii="Verdana" w:hAnsi="Verdana"/>
                <w:sz w:val="18"/>
                <w:szCs w:val="18"/>
              </w:rPr>
            </w:pPr>
            <w:r w:rsidRPr="003D7135">
              <w:rPr>
                <w:rFonts w:ascii="Verdana" w:hAnsi="Verdana"/>
                <w:sz w:val="18"/>
                <w:szCs w:val="18"/>
              </w:rPr>
              <w:t>PI</w:t>
            </w:r>
          </w:p>
        </w:tc>
        <w:tc>
          <w:tcPr>
            <w:tcW w:w="4053" w:type="dxa"/>
            <w:tcBorders>
              <w:top w:val="nil"/>
              <w:left w:val="nil"/>
              <w:bottom w:val="single" w:sz="8" w:space="0" w:color="auto"/>
              <w:right w:val="single" w:sz="8" w:space="0" w:color="auto"/>
            </w:tcBorders>
            <w:tcMar>
              <w:top w:w="0" w:type="dxa"/>
              <w:left w:w="108" w:type="dxa"/>
              <w:bottom w:w="0" w:type="dxa"/>
              <w:right w:w="108" w:type="dxa"/>
            </w:tcMar>
          </w:tcPr>
          <w:p w:rsidR="00F22E38" w:rsidRPr="003D7135" w:rsidRDefault="008F23FB">
            <w:pPr>
              <w:rPr>
                <w:rFonts w:ascii="Verdana" w:hAnsi="Verdana"/>
                <w:sz w:val="18"/>
                <w:szCs w:val="18"/>
              </w:rPr>
            </w:pPr>
            <w:r w:rsidRPr="003D7135">
              <w:rPr>
                <w:rFonts w:ascii="Verdana" w:hAnsi="Verdana"/>
                <w:sz w:val="18"/>
                <w:szCs w:val="18"/>
              </w:rPr>
              <w:t xml:space="preserve"> </w:t>
            </w:r>
            <w:r w:rsidR="00D31006" w:rsidRPr="003D7135">
              <w:rPr>
                <w:rFonts w:ascii="Verdana" w:hAnsi="Verdana"/>
                <w:sz w:val="18"/>
                <w:szCs w:val="18"/>
              </w:rPr>
              <w:t>See below for training guidance.</w:t>
            </w:r>
          </w:p>
          <w:p w:rsidR="00210E85" w:rsidRPr="003D7135" w:rsidRDefault="00210E85" w:rsidP="00FE23B0">
            <w:pPr>
              <w:rPr>
                <w:rFonts w:ascii="Verdana" w:hAnsi="Verdana"/>
                <w:sz w:val="18"/>
                <w:szCs w:val="18"/>
              </w:rPr>
            </w:pPr>
          </w:p>
        </w:tc>
      </w:tr>
      <w:tr w:rsidR="00010E83" w:rsidRPr="003D7135" w:rsidTr="003D7135">
        <w:tc>
          <w:tcPr>
            <w:tcW w:w="95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C6B50" w:rsidRPr="003D7135" w:rsidRDefault="007C6B50" w:rsidP="003D7135">
            <w:pPr>
              <w:pStyle w:val="Lijstalinea"/>
              <w:numPr>
                <w:ilvl w:val="0"/>
                <w:numId w:val="2"/>
              </w:numPr>
              <w:ind w:left="426"/>
              <w:rPr>
                <w:rFonts w:ascii="Verdana" w:hAnsi="Verdana"/>
                <w:sz w:val="18"/>
                <w:szCs w:val="18"/>
              </w:rPr>
            </w:pPr>
          </w:p>
        </w:tc>
        <w:tc>
          <w:tcPr>
            <w:tcW w:w="2834" w:type="dxa"/>
            <w:tcBorders>
              <w:top w:val="nil"/>
              <w:left w:val="nil"/>
              <w:bottom w:val="single" w:sz="8" w:space="0" w:color="auto"/>
              <w:right w:val="single" w:sz="8" w:space="0" w:color="auto"/>
            </w:tcBorders>
            <w:tcMar>
              <w:top w:w="0" w:type="dxa"/>
              <w:left w:w="108" w:type="dxa"/>
              <w:bottom w:w="0" w:type="dxa"/>
              <w:right w:w="108" w:type="dxa"/>
            </w:tcMar>
            <w:hideMark/>
          </w:tcPr>
          <w:p w:rsidR="00210E85" w:rsidRPr="003D7135" w:rsidRDefault="00210E85">
            <w:pPr>
              <w:rPr>
                <w:rFonts w:ascii="Verdana" w:hAnsi="Verdana"/>
                <w:sz w:val="18"/>
                <w:szCs w:val="18"/>
              </w:rPr>
            </w:pPr>
            <w:r w:rsidRPr="003D7135">
              <w:rPr>
                <w:rFonts w:ascii="Verdana" w:hAnsi="Verdana"/>
                <w:sz w:val="18"/>
                <w:szCs w:val="18"/>
              </w:rPr>
              <w:t>Adapt questionnaire if needed</w:t>
            </w:r>
          </w:p>
        </w:tc>
        <w:tc>
          <w:tcPr>
            <w:tcW w:w="1442" w:type="dxa"/>
            <w:tcBorders>
              <w:top w:val="nil"/>
              <w:left w:val="nil"/>
              <w:bottom w:val="single" w:sz="8" w:space="0" w:color="auto"/>
              <w:right w:val="single" w:sz="8" w:space="0" w:color="auto"/>
            </w:tcBorders>
            <w:tcMar>
              <w:top w:w="0" w:type="dxa"/>
              <w:left w:w="108" w:type="dxa"/>
              <w:bottom w:w="0" w:type="dxa"/>
              <w:right w:w="108" w:type="dxa"/>
            </w:tcMar>
            <w:hideMark/>
          </w:tcPr>
          <w:p w:rsidR="00210E85" w:rsidRPr="003D7135" w:rsidRDefault="00210E85">
            <w:pPr>
              <w:rPr>
                <w:rFonts w:ascii="Verdana" w:hAnsi="Verdana"/>
                <w:sz w:val="18"/>
                <w:szCs w:val="18"/>
              </w:rPr>
            </w:pPr>
            <w:r w:rsidRPr="003D7135">
              <w:rPr>
                <w:rFonts w:ascii="Verdana" w:hAnsi="Verdana"/>
                <w:sz w:val="18"/>
                <w:szCs w:val="18"/>
              </w:rPr>
              <w:t xml:space="preserve">PI </w:t>
            </w:r>
          </w:p>
        </w:tc>
        <w:tc>
          <w:tcPr>
            <w:tcW w:w="4053" w:type="dxa"/>
            <w:tcBorders>
              <w:top w:val="nil"/>
              <w:left w:val="nil"/>
              <w:bottom w:val="single" w:sz="8" w:space="0" w:color="auto"/>
              <w:right w:val="single" w:sz="8" w:space="0" w:color="auto"/>
            </w:tcBorders>
            <w:tcMar>
              <w:top w:w="0" w:type="dxa"/>
              <w:left w:w="108" w:type="dxa"/>
              <w:bottom w:w="0" w:type="dxa"/>
              <w:right w:w="108" w:type="dxa"/>
            </w:tcMar>
          </w:tcPr>
          <w:p w:rsidR="00210E85" w:rsidRPr="003D7135" w:rsidRDefault="00210E85">
            <w:pPr>
              <w:rPr>
                <w:rFonts w:ascii="Verdana" w:hAnsi="Verdana"/>
                <w:sz w:val="18"/>
                <w:szCs w:val="18"/>
              </w:rPr>
            </w:pPr>
          </w:p>
        </w:tc>
      </w:tr>
      <w:tr w:rsidR="00010E83" w:rsidRPr="003D7135" w:rsidTr="003D7135">
        <w:tc>
          <w:tcPr>
            <w:tcW w:w="95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C6B50" w:rsidRPr="003D7135" w:rsidRDefault="007C6B50" w:rsidP="003D7135">
            <w:pPr>
              <w:pStyle w:val="Lijstalinea"/>
              <w:numPr>
                <w:ilvl w:val="0"/>
                <w:numId w:val="2"/>
              </w:numPr>
              <w:ind w:left="426"/>
              <w:rPr>
                <w:rFonts w:ascii="Verdana" w:hAnsi="Verdana"/>
                <w:sz w:val="18"/>
                <w:szCs w:val="18"/>
              </w:rPr>
            </w:pPr>
          </w:p>
        </w:tc>
        <w:tc>
          <w:tcPr>
            <w:tcW w:w="2834" w:type="dxa"/>
            <w:tcBorders>
              <w:top w:val="nil"/>
              <w:left w:val="nil"/>
              <w:bottom w:val="single" w:sz="8" w:space="0" w:color="auto"/>
              <w:right w:val="single" w:sz="8" w:space="0" w:color="auto"/>
            </w:tcBorders>
            <w:tcMar>
              <w:top w:w="0" w:type="dxa"/>
              <w:left w:w="108" w:type="dxa"/>
              <w:bottom w:w="0" w:type="dxa"/>
              <w:right w:w="108" w:type="dxa"/>
            </w:tcMar>
            <w:hideMark/>
          </w:tcPr>
          <w:p w:rsidR="00210E85" w:rsidRPr="003D7135" w:rsidRDefault="00210E85">
            <w:pPr>
              <w:rPr>
                <w:rFonts w:ascii="Verdana" w:hAnsi="Verdana"/>
                <w:sz w:val="18"/>
                <w:szCs w:val="18"/>
              </w:rPr>
            </w:pPr>
            <w:r w:rsidRPr="003D7135">
              <w:rPr>
                <w:rFonts w:ascii="Verdana" w:hAnsi="Verdana"/>
                <w:sz w:val="18"/>
                <w:szCs w:val="18"/>
              </w:rPr>
              <w:t>Pilot the questionnaire on a small number of patients, ideally 1-2 patients per patient group (see Question j on first page)</w:t>
            </w:r>
          </w:p>
        </w:tc>
        <w:tc>
          <w:tcPr>
            <w:tcW w:w="1442" w:type="dxa"/>
            <w:tcBorders>
              <w:top w:val="nil"/>
              <w:left w:val="nil"/>
              <w:bottom w:val="single" w:sz="8" w:space="0" w:color="auto"/>
              <w:right w:val="single" w:sz="8" w:space="0" w:color="auto"/>
            </w:tcBorders>
            <w:tcMar>
              <w:top w:w="0" w:type="dxa"/>
              <w:left w:w="108" w:type="dxa"/>
              <w:bottom w:w="0" w:type="dxa"/>
              <w:right w:w="108" w:type="dxa"/>
            </w:tcMar>
            <w:hideMark/>
          </w:tcPr>
          <w:p w:rsidR="00210E85" w:rsidRPr="003D7135" w:rsidRDefault="00210E85">
            <w:pPr>
              <w:rPr>
                <w:rFonts w:ascii="Verdana" w:hAnsi="Verdana"/>
                <w:sz w:val="18"/>
                <w:szCs w:val="18"/>
              </w:rPr>
            </w:pPr>
            <w:r w:rsidRPr="003D7135">
              <w:rPr>
                <w:rFonts w:ascii="Verdana" w:hAnsi="Verdana"/>
                <w:sz w:val="18"/>
                <w:szCs w:val="18"/>
              </w:rPr>
              <w:t>PI and interviewers</w:t>
            </w:r>
          </w:p>
        </w:tc>
        <w:tc>
          <w:tcPr>
            <w:tcW w:w="4053" w:type="dxa"/>
            <w:tcBorders>
              <w:top w:val="nil"/>
              <w:left w:val="nil"/>
              <w:bottom w:val="single" w:sz="8" w:space="0" w:color="auto"/>
              <w:right w:val="single" w:sz="8" w:space="0" w:color="auto"/>
            </w:tcBorders>
            <w:tcMar>
              <w:top w:w="0" w:type="dxa"/>
              <w:left w:w="108" w:type="dxa"/>
              <w:bottom w:w="0" w:type="dxa"/>
              <w:right w:w="108" w:type="dxa"/>
            </w:tcMar>
            <w:hideMark/>
          </w:tcPr>
          <w:p w:rsidR="00210E85" w:rsidRPr="003D7135" w:rsidRDefault="00210E85">
            <w:pPr>
              <w:rPr>
                <w:rFonts w:ascii="Verdana" w:hAnsi="Verdana"/>
                <w:sz w:val="18"/>
                <w:szCs w:val="18"/>
              </w:rPr>
            </w:pPr>
            <w:r w:rsidRPr="003D7135">
              <w:rPr>
                <w:rFonts w:ascii="Verdana" w:hAnsi="Verdana"/>
                <w:sz w:val="18"/>
                <w:szCs w:val="18"/>
              </w:rPr>
              <w:t>This step is needed to check if the questionnaire is also logical and comprehensive to the target population.</w:t>
            </w:r>
            <w:r w:rsidR="00010E83" w:rsidRPr="003D7135">
              <w:rPr>
                <w:rFonts w:ascii="Verdana" w:hAnsi="Verdana"/>
                <w:sz w:val="18"/>
                <w:szCs w:val="18"/>
              </w:rPr>
              <w:t xml:space="preserve"> Questions to be answered:</w:t>
            </w:r>
          </w:p>
          <w:p w:rsidR="00010E83" w:rsidRPr="003D7135" w:rsidRDefault="00010E83" w:rsidP="004A21F1">
            <w:pPr>
              <w:numPr>
                <w:ilvl w:val="0"/>
                <w:numId w:val="5"/>
              </w:numPr>
              <w:rPr>
                <w:rFonts w:ascii="Verdana" w:hAnsi="Verdana" w:cs="Arial"/>
                <w:sz w:val="20"/>
                <w:szCs w:val="20"/>
              </w:rPr>
            </w:pPr>
            <w:r w:rsidRPr="003D7135">
              <w:rPr>
                <w:rFonts w:ascii="Verdana" w:hAnsi="Verdana" w:cs="Arial"/>
                <w:sz w:val="20"/>
                <w:szCs w:val="20"/>
              </w:rPr>
              <w:t>Are all words understood?</w:t>
            </w:r>
          </w:p>
          <w:p w:rsidR="00010E83" w:rsidRPr="003D7135" w:rsidRDefault="00010E83" w:rsidP="004A21F1">
            <w:pPr>
              <w:numPr>
                <w:ilvl w:val="0"/>
                <w:numId w:val="5"/>
              </w:numPr>
              <w:rPr>
                <w:rFonts w:ascii="Verdana" w:hAnsi="Verdana" w:cs="Arial"/>
                <w:sz w:val="20"/>
                <w:szCs w:val="20"/>
              </w:rPr>
            </w:pPr>
            <w:r w:rsidRPr="003D7135">
              <w:rPr>
                <w:rFonts w:ascii="Verdana" w:hAnsi="Verdana" w:cs="Arial"/>
                <w:sz w:val="20"/>
                <w:szCs w:val="20"/>
              </w:rPr>
              <w:t>Are the questions interpreted similarly by all respondents?</w:t>
            </w:r>
          </w:p>
          <w:p w:rsidR="00010E83" w:rsidRPr="003D7135" w:rsidRDefault="00010E83" w:rsidP="004A21F1">
            <w:pPr>
              <w:numPr>
                <w:ilvl w:val="0"/>
                <w:numId w:val="5"/>
              </w:numPr>
              <w:rPr>
                <w:rFonts w:ascii="Verdana" w:hAnsi="Verdana" w:cs="Arial"/>
                <w:sz w:val="20"/>
                <w:szCs w:val="20"/>
              </w:rPr>
            </w:pPr>
            <w:r w:rsidRPr="003D7135">
              <w:rPr>
                <w:rFonts w:ascii="Verdana" w:hAnsi="Verdana" w:cs="Arial"/>
                <w:sz w:val="20"/>
                <w:szCs w:val="20"/>
              </w:rPr>
              <w:t>Do the closed-ended questions have answers that are applicable to each respondent?</w:t>
            </w:r>
          </w:p>
          <w:p w:rsidR="00010E83" w:rsidRPr="003D7135" w:rsidRDefault="00010E83" w:rsidP="004A21F1">
            <w:pPr>
              <w:numPr>
                <w:ilvl w:val="0"/>
                <w:numId w:val="5"/>
              </w:numPr>
              <w:rPr>
                <w:rFonts w:ascii="Verdana" w:hAnsi="Verdana"/>
                <w:sz w:val="18"/>
                <w:szCs w:val="18"/>
              </w:rPr>
            </w:pPr>
            <w:r w:rsidRPr="003D7135">
              <w:rPr>
                <w:rFonts w:ascii="Verdana" w:hAnsi="Verdana" w:cs="Arial"/>
                <w:sz w:val="20"/>
                <w:szCs w:val="20"/>
              </w:rPr>
              <w:t>Do some questions evoke answers that can’t be interpreted?</w:t>
            </w:r>
          </w:p>
        </w:tc>
      </w:tr>
      <w:tr w:rsidR="00010E83" w:rsidRPr="003D7135" w:rsidTr="003D7135">
        <w:tc>
          <w:tcPr>
            <w:tcW w:w="95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C6B50" w:rsidRPr="003D7135" w:rsidRDefault="007C6B50" w:rsidP="003D7135">
            <w:pPr>
              <w:pStyle w:val="Lijstalinea"/>
              <w:numPr>
                <w:ilvl w:val="0"/>
                <w:numId w:val="2"/>
              </w:numPr>
              <w:ind w:left="426"/>
              <w:rPr>
                <w:rFonts w:ascii="Verdana" w:hAnsi="Verdana"/>
                <w:sz w:val="18"/>
                <w:szCs w:val="18"/>
              </w:rPr>
            </w:pPr>
          </w:p>
        </w:tc>
        <w:tc>
          <w:tcPr>
            <w:tcW w:w="2834" w:type="dxa"/>
            <w:tcBorders>
              <w:top w:val="nil"/>
              <w:left w:val="nil"/>
              <w:bottom w:val="single" w:sz="8" w:space="0" w:color="auto"/>
              <w:right w:val="single" w:sz="8" w:space="0" w:color="auto"/>
            </w:tcBorders>
            <w:tcMar>
              <w:top w:w="0" w:type="dxa"/>
              <w:left w:w="108" w:type="dxa"/>
              <w:bottom w:w="0" w:type="dxa"/>
              <w:right w:w="108" w:type="dxa"/>
            </w:tcMar>
            <w:hideMark/>
          </w:tcPr>
          <w:p w:rsidR="00210E85" w:rsidRPr="003D7135" w:rsidRDefault="00210E85">
            <w:pPr>
              <w:rPr>
                <w:rFonts w:ascii="Verdana" w:hAnsi="Verdana"/>
                <w:sz w:val="18"/>
                <w:szCs w:val="18"/>
              </w:rPr>
            </w:pPr>
            <w:r w:rsidRPr="003D7135">
              <w:rPr>
                <w:rFonts w:ascii="Verdana" w:hAnsi="Verdana"/>
                <w:sz w:val="18"/>
                <w:szCs w:val="18"/>
              </w:rPr>
              <w:t>Adapt questionnaire if needed</w:t>
            </w:r>
          </w:p>
        </w:tc>
        <w:tc>
          <w:tcPr>
            <w:tcW w:w="1442" w:type="dxa"/>
            <w:tcBorders>
              <w:top w:val="nil"/>
              <w:left w:val="nil"/>
              <w:bottom w:val="single" w:sz="8" w:space="0" w:color="auto"/>
              <w:right w:val="single" w:sz="8" w:space="0" w:color="auto"/>
            </w:tcBorders>
            <w:tcMar>
              <w:top w:w="0" w:type="dxa"/>
              <w:left w:w="108" w:type="dxa"/>
              <w:bottom w:w="0" w:type="dxa"/>
              <w:right w:w="108" w:type="dxa"/>
            </w:tcMar>
            <w:hideMark/>
          </w:tcPr>
          <w:p w:rsidR="00210E85" w:rsidRPr="003D7135" w:rsidRDefault="00210E85">
            <w:pPr>
              <w:rPr>
                <w:rFonts w:ascii="Verdana" w:hAnsi="Verdana"/>
                <w:sz w:val="18"/>
                <w:szCs w:val="18"/>
              </w:rPr>
            </w:pPr>
            <w:r w:rsidRPr="003D7135">
              <w:rPr>
                <w:rFonts w:ascii="Verdana" w:hAnsi="Verdana"/>
                <w:sz w:val="18"/>
                <w:szCs w:val="18"/>
              </w:rPr>
              <w:t xml:space="preserve">PI </w:t>
            </w:r>
          </w:p>
        </w:tc>
        <w:tc>
          <w:tcPr>
            <w:tcW w:w="4053" w:type="dxa"/>
            <w:tcBorders>
              <w:top w:val="nil"/>
              <w:left w:val="nil"/>
              <w:bottom w:val="single" w:sz="8" w:space="0" w:color="auto"/>
              <w:right w:val="single" w:sz="8" w:space="0" w:color="auto"/>
            </w:tcBorders>
            <w:tcMar>
              <w:top w:w="0" w:type="dxa"/>
              <w:left w:w="108" w:type="dxa"/>
              <w:bottom w:w="0" w:type="dxa"/>
              <w:right w:w="108" w:type="dxa"/>
            </w:tcMar>
          </w:tcPr>
          <w:p w:rsidR="00210E85" w:rsidRPr="003D7135" w:rsidRDefault="00010E83">
            <w:pPr>
              <w:rPr>
                <w:rFonts w:ascii="Verdana" w:hAnsi="Verdana"/>
                <w:sz w:val="18"/>
                <w:szCs w:val="18"/>
              </w:rPr>
            </w:pPr>
            <w:r w:rsidRPr="003D7135">
              <w:rPr>
                <w:rFonts w:ascii="Verdana" w:hAnsi="Verdana"/>
                <w:sz w:val="18"/>
                <w:szCs w:val="18"/>
              </w:rPr>
              <w:t>Repeat steps 11 and 12 if needed.</w:t>
            </w:r>
          </w:p>
        </w:tc>
      </w:tr>
      <w:tr w:rsidR="00010E83" w:rsidRPr="003D7135" w:rsidTr="003D7135">
        <w:tc>
          <w:tcPr>
            <w:tcW w:w="959" w:type="dxa"/>
            <w:tcBorders>
              <w:top w:val="nil"/>
              <w:left w:val="single" w:sz="8" w:space="0" w:color="auto"/>
              <w:bottom w:val="nil"/>
              <w:right w:val="single" w:sz="8" w:space="0" w:color="auto"/>
            </w:tcBorders>
            <w:tcMar>
              <w:top w:w="0" w:type="dxa"/>
              <w:left w:w="108" w:type="dxa"/>
              <w:bottom w:w="0" w:type="dxa"/>
              <w:right w:w="108" w:type="dxa"/>
            </w:tcMar>
            <w:hideMark/>
          </w:tcPr>
          <w:p w:rsidR="007C6B50" w:rsidRPr="003D7135" w:rsidRDefault="007C6B50" w:rsidP="003D7135">
            <w:pPr>
              <w:pStyle w:val="Lijstalinea"/>
              <w:numPr>
                <w:ilvl w:val="0"/>
                <w:numId w:val="2"/>
              </w:numPr>
              <w:ind w:left="426"/>
              <w:rPr>
                <w:rFonts w:ascii="Verdana" w:hAnsi="Verdana"/>
                <w:sz w:val="18"/>
                <w:szCs w:val="18"/>
              </w:rPr>
            </w:pPr>
          </w:p>
        </w:tc>
        <w:tc>
          <w:tcPr>
            <w:tcW w:w="2834" w:type="dxa"/>
            <w:tcBorders>
              <w:top w:val="nil"/>
              <w:left w:val="nil"/>
              <w:bottom w:val="nil"/>
              <w:right w:val="single" w:sz="8" w:space="0" w:color="auto"/>
            </w:tcBorders>
            <w:tcMar>
              <w:top w:w="0" w:type="dxa"/>
              <w:left w:w="108" w:type="dxa"/>
              <w:bottom w:w="0" w:type="dxa"/>
              <w:right w:w="108" w:type="dxa"/>
            </w:tcMar>
            <w:hideMark/>
          </w:tcPr>
          <w:p w:rsidR="00FE23B0" w:rsidRPr="003D7135" w:rsidRDefault="008F23FB" w:rsidP="003D7135">
            <w:pPr>
              <w:rPr>
                <w:rFonts w:ascii="Verdana" w:hAnsi="Verdana"/>
                <w:sz w:val="18"/>
                <w:szCs w:val="18"/>
              </w:rPr>
            </w:pPr>
            <w:r w:rsidRPr="003D7135">
              <w:rPr>
                <w:rFonts w:ascii="Verdana" w:hAnsi="Verdana"/>
                <w:sz w:val="18"/>
                <w:szCs w:val="18"/>
              </w:rPr>
              <w:t xml:space="preserve">Develop a data-entry file (e.g. in </w:t>
            </w:r>
            <w:proofErr w:type="spellStart"/>
            <w:r w:rsidRPr="003D7135">
              <w:rPr>
                <w:rFonts w:ascii="Verdana" w:hAnsi="Verdana"/>
                <w:sz w:val="18"/>
                <w:szCs w:val="18"/>
              </w:rPr>
              <w:t>Epi</w:t>
            </w:r>
            <w:r w:rsidR="003D7135">
              <w:rPr>
                <w:rFonts w:ascii="Verdana" w:hAnsi="Verdana"/>
                <w:sz w:val="18"/>
                <w:szCs w:val="18"/>
              </w:rPr>
              <w:t>D</w:t>
            </w:r>
            <w:r w:rsidRPr="003D7135">
              <w:rPr>
                <w:rFonts w:ascii="Verdana" w:hAnsi="Verdana"/>
                <w:sz w:val="18"/>
                <w:szCs w:val="18"/>
              </w:rPr>
              <w:t>ata</w:t>
            </w:r>
            <w:proofErr w:type="spellEnd"/>
            <w:r w:rsidRPr="003D7135">
              <w:rPr>
                <w:rFonts w:ascii="Verdana" w:hAnsi="Verdana"/>
                <w:sz w:val="18"/>
                <w:szCs w:val="18"/>
              </w:rPr>
              <w:t>)</w:t>
            </w:r>
          </w:p>
        </w:tc>
        <w:tc>
          <w:tcPr>
            <w:tcW w:w="1442" w:type="dxa"/>
            <w:tcBorders>
              <w:top w:val="nil"/>
              <w:left w:val="nil"/>
              <w:bottom w:val="nil"/>
              <w:right w:val="single" w:sz="8" w:space="0" w:color="auto"/>
            </w:tcBorders>
            <w:tcMar>
              <w:top w:w="0" w:type="dxa"/>
              <w:left w:w="108" w:type="dxa"/>
              <w:bottom w:w="0" w:type="dxa"/>
              <w:right w:w="108" w:type="dxa"/>
            </w:tcMar>
            <w:hideMark/>
          </w:tcPr>
          <w:p w:rsidR="00FE23B0" w:rsidRPr="003D7135" w:rsidRDefault="008F23FB">
            <w:pPr>
              <w:rPr>
                <w:rFonts w:ascii="Verdana" w:hAnsi="Verdana"/>
                <w:sz w:val="18"/>
                <w:szCs w:val="18"/>
              </w:rPr>
            </w:pPr>
            <w:r w:rsidRPr="003D7135">
              <w:rPr>
                <w:rFonts w:ascii="Verdana" w:hAnsi="Verdana"/>
                <w:sz w:val="18"/>
                <w:szCs w:val="18"/>
              </w:rPr>
              <w:t>PI and core team</w:t>
            </w:r>
          </w:p>
        </w:tc>
        <w:tc>
          <w:tcPr>
            <w:tcW w:w="4053" w:type="dxa"/>
            <w:tcBorders>
              <w:top w:val="nil"/>
              <w:left w:val="nil"/>
              <w:bottom w:val="nil"/>
              <w:right w:val="single" w:sz="8" w:space="0" w:color="auto"/>
            </w:tcBorders>
            <w:tcMar>
              <w:top w:w="0" w:type="dxa"/>
              <w:left w:w="108" w:type="dxa"/>
              <w:bottom w:w="0" w:type="dxa"/>
              <w:right w:w="108" w:type="dxa"/>
            </w:tcMar>
            <w:hideMark/>
          </w:tcPr>
          <w:p w:rsidR="00FE23B0" w:rsidRPr="003D7135" w:rsidRDefault="008F23FB" w:rsidP="00F22E38">
            <w:pPr>
              <w:rPr>
                <w:rFonts w:ascii="Verdana" w:hAnsi="Verdana"/>
                <w:sz w:val="18"/>
                <w:szCs w:val="18"/>
              </w:rPr>
            </w:pPr>
            <w:r w:rsidRPr="003D7135">
              <w:rPr>
                <w:rFonts w:ascii="Verdana" w:hAnsi="Verdana"/>
                <w:sz w:val="18"/>
                <w:szCs w:val="18"/>
              </w:rPr>
              <w:t>Most questions only have one answer possibility. For Q10, Q11, Q12c</w:t>
            </w:r>
            <w:r w:rsidR="004A21F1">
              <w:rPr>
                <w:rFonts w:ascii="Verdana" w:hAnsi="Verdana"/>
                <w:sz w:val="18"/>
                <w:szCs w:val="18"/>
              </w:rPr>
              <w:t>, Q24b</w:t>
            </w:r>
            <w:r w:rsidRPr="003D7135">
              <w:rPr>
                <w:rFonts w:ascii="Verdana" w:hAnsi="Verdana"/>
                <w:sz w:val="18"/>
                <w:szCs w:val="18"/>
              </w:rPr>
              <w:t xml:space="preserve"> and Q27, more than one answer is possible. In the data-entry sheet, enable this by providing </w:t>
            </w:r>
            <w:r w:rsidR="00F22E38" w:rsidRPr="003D7135">
              <w:rPr>
                <w:rFonts w:ascii="Verdana" w:hAnsi="Verdana"/>
                <w:sz w:val="18"/>
                <w:szCs w:val="18"/>
              </w:rPr>
              <w:t xml:space="preserve">an entry for </w:t>
            </w:r>
            <w:r w:rsidRPr="003D7135">
              <w:rPr>
                <w:rFonts w:ascii="Verdana" w:hAnsi="Verdana"/>
                <w:sz w:val="18"/>
                <w:szCs w:val="18"/>
              </w:rPr>
              <w:t xml:space="preserve">each answer option. </w:t>
            </w:r>
          </w:p>
        </w:tc>
      </w:tr>
      <w:tr w:rsidR="00F22E38" w:rsidRPr="003D7135" w:rsidTr="003D7135">
        <w:tc>
          <w:tcPr>
            <w:tcW w:w="959" w:type="dxa"/>
            <w:tcBorders>
              <w:top w:val="nil"/>
              <w:left w:val="single" w:sz="8" w:space="0" w:color="auto"/>
              <w:bottom w:val="nil"/>
              <w:right w:val="single" w:sz="8" w:space="0" w:color="auto"/>
            </w:tcBorders>
            <w:tcMar>
              <w:top w:w="0" w:type="dxa"/>
              <w:left w:w="108" w:type="dxa"/>
              <w:bottom w:w="0" w:type="dxa"/>
              <w:right w:w="108" w:type="dxa"/>
            </w:tcMar>
            <w:hideMark/>
          </w:tcPr>
          <w:p w:rsidR="00F22E38" w:rsidRPr="003D7135" w:rsidRDefault="00F22E38" w:rsidP="003D7135">
            <w:pPr>
              <w:pStyle w:val="Lijstalinea"/>
              <w:numPr>
                <w:ilvl w:val="0"/>
                <w:numId w:val="2"/>
              </w:numPr>
              <w:ind w:left="426"/>
              <w:rPr>
                <w:rFonts w:ascii="Verdana" w:hAnsi="Verdana"/>
                <w:sz w:val="18"/>
                <w:szCs w:val="18"/>
              </w:rPr>
            </w:pPr>
          </w:p>
        </w:tc>
        <w:tc>
          <w:tcPr>
            <w:tcW w:w="2834" w:type="dxa"/>
            <w:tcBorders>
              <w:top w:val="nil"/>
              <w:left w:val="nil"/>
              <w:bottom w:val="nil"/>
              <w:right w:val="single" w:sz="8" w:space="0" w:color="auto"/>
            </w:tcBorders>
            <w:tcMar>
              <w:top w:w="0" w:type="dxa"/>
              <w:left w:w="108" w:type="dxa"/>
              <w:bottom w:w="0" w:type="dxa"/>
              <w:right w:w="108" w:type="dxa"/>
            </w:tcMar>
            <w:hideMark/>
          </w:tcPr>
          <w:p w:rsidR="00F22E38" w:rsidRPr="003D7135" w:rsidRDefault="00F22E38" w:rsidP="00F22E38">
            <w:pPr>
              <w:rPr>
                <w:rFonts w:ascii="Verdana" w:hAnsi="Verdana"/>
                <w:sz w:val="18"/>
                <w:szCs w:val="18"/>
              </w:rPr>
            </w:pPr>
            <w:r w:rsidRPr="003D7135">
              <w:rPr>
                <w:rFonts w:ascii="Verdana" w:hAnsi="Verdana"/>
                <w:sz w:val="18"/>
                <w:szCs w:val="18"/>
              </w:rPr>
              <w:t>Print sufficient copies of the questionnaire</w:t>
            </w:r>
          </w:p>
        </w:tc>
        <w:tc>
          <w:tcPr>
            <w:tcW w:w="1442" w:type="dxa"/>
            <w:tcBorders>
              <w:top w:val="nil"/>
              <w:left w:val="nil"/>
              <w:bottom w:val="nil"/>
              <w:right w:val="single" w:sz="8" w:space="0" w:color="auto"/>
            </w:tcBorders>
            <w:tcMar>
              <w:top w:w="0" w:type="dxa"/>
              <w:left w:w="108" w:type="dxa"/>
              <w:bottom w:w="0" w:type="dxa"/>
              <w:right w:w="108" w:type="dxa"/>
            </w:tcMar>
            <w:hideMark/>
          </w:tcPr>
          <w:p w:rsidR="00F22E38" w:rsidRPr="003D7135" w:rsidRDefault="00F22E38" w:rsidP="00F22E38">
            <w:pPr>
              <w:rPr>
                <w:rFonts w:ascii="Verdana" w:hAnsi="Verdana"/>
                <w:sz w:val="18"/>
                <w:szCs w:val="18"/>
              </w:rPr>
            </w:pPr>
            <w:r w:rsidRPr="003D7135">
              <w:rPr>
                <w:rFonts w:ascii="Verdana" w:hAnsi="Verdana"/>
                <w:sz w:val="18"/>
                <w:szCs w:val="18"/>
              </w:rPr>
              <w:t>PI and core team</w:t>
            </w:r>
          </w:p>
        </w:tc>
        <w:tc>
          <w:tcPr>
            <w:tcW w:w="4053" w:type="dxa"/>
            <w:tcBorders>
              <w:top w:val="nil"/>
              <w:left w:val="nil"/>
              <w:bottom w:val="nil"/>
              <w:right w:val="single" w:sz="8" w:space="0" w:color="auto"/>
            </w:tcBorders>
            <w:tcMar>
              <w:top w:w="0" w:type="dxa"/>
              <w:left w:w="108" w:type="dxa"/>
              <w:bottom w:w="0" w:type="dxa"/>
              <w:right w:w="108" w:type="dxa"/>
            </w:tcMar>
            <w:hideMark/>
          </w:tcPr>
          <w:p w:rsidR="001F66A8" w:rsidRPr="003D7135" w:rsidRDefault="00F22E38">
            <w:pPr>
              <w:rPr>
                <w:rFonts w:ascii="Verdana" w:hAnsi="Verdana"/>
                <w:sz w:val="18"/>
                <w:szCs w:val="18"/>
              </w:rPr>
            </w:pPr>
            <w:r w:rsidRPr="003D7135">
              <w:rPr>
                <w:rFonts w:ascii="Verdana" w:hAnsi="Verdana"/>
                <w:sz w:val="18"/>
                <w:szCs w:val="18"/>
              </w:rPr>
              <w:t xml:space="preserve">Print some extra pages for Q14. These might be needed for patients who needed more than 9 visits to get a (MDR) TB diagnosis. It is preferred that interviewers use one of these extra pages than </w:t>
            </w:r>
            <w:r w:rsidR="008B0952" w:rsidRPr="003D7135">
              <w:rPr>
                <w:rFonts w:ascii="Verdana" w:hAnsi="Verdana"/>
                <w:sz w:val="18"/>
                <w:szCs w:val="18"/>
              </w:rPr>
              <w:t>writing</w:t>
            </w:r>
            <w:r w:rsidRPr="003D7135">
              <w:rPr>
                <w:rFonts w:ascii="Verdana" w:hAnsi="Verdana"/>
                <w:sz w:val="18"/>
                <w:szCs w:val="18"/>
              </w:rPr>
              <w:t xml:space="preserve"> extra lines on the questionnaire themselves.</w:t>
            </w:r>
          </w:p>
        </w:tc>
      </w:tr>
      <w:tr w:rsidR="00010E83" w:rsidRPr="003D7135" w:rsidTr="003D7135">
        <w:tc>
          <w:tcPr>
            <w:tcW w:w="959" w:type="dxa"/>
            <w:tcBorders>
              <w:top w:val="nil"/>
              <w:left w:val="single" w:sz="8" w:space="0" w:color="auto"/>
              <w:right w:val="single" w:sz="8" w:space="0" w:color="auto"/>
            </w:tcBorders>
            <w:tcMar>
              <w:top w:w="0" w:type="dxa"/>
              <w:left w:w="108" w:type="dxa"/>
              <w:bottom w:w="0" w:type="dxa"/>
              <w:right w:w="108" w:type="dxa"/>
            </w:tcMar>
            <w:hideMark/>
          </w:tcPr>
          <w:p w:rsidR="007C6B50" w:rsidRPr="003D7135" w:rsidRDefault="007C6B50" w:rsidP="003D7135">
            <w:pPr>
              <w:pStyle w:val="Lijstalinea"/>
              <w:numPr>
                <w:ilvl w:val="0"/>
                <w:numId w:val="2"/>
              </w:numPr>
              <w:ind w:left="426"/>
              <w:rPr>
                <w:rFonts w:ascii="Verdana" w:hAnsi="Verdana"/>
                <w:sz w:val="18"/>
                <w:szCs w:val="18"/>
              </w:rPr>
            </w:pPr>
          </w:p>
        </w:tc>
        <w:tc>
          <w:tcPr>
            <w:tcW w:w="2834" w:type="dxa"/>
            <w:tcBorders>
              <w:top w:val="nil"/>
              <w:left w:val="nil"/>
              <w:right w:val="single" w:sz="8" w:space="0" w:color="auto"/>
            </w:tcBorders>
            <w:tcMar>
              <w:top w:w="0" w:type="dxa"/>
              <w:left w:w="108" w:type="dxa"/>
              <w:bottom w:w="0" w:type="dxa"/>
              <w:right w:w="108" w:type="dxa"/>
            </w:tcMar>
            <w:hideMark/>
          </w:tcPr>
          <w:p w:rsidR="001F66A8" w:rsidRPr="003D7135" w:rsidRDefault="00F22E38">
            <w:pPr>
              <w:rPr>
                <w:rFonts w:ascii="Verdana" w:hAnsi="Verdana"/>
                <w:sz w:val="18"/>
                <w:szCs w:val="18"/>
              </w:rPr>
            </w:pPr>
            <w:r w:rsidRPr="003D7135">
              <w:rPr>
                <w:rFonts w:ascii="Verdana" w:hAnsi="Verdana"/>
                <w:sz w:val="18"/>
                <w:szCs w:val="18"/>
              </w:rPr>
              <w:t>Daily monitor number of patient interviews</w:t>
            </w:r>
          </w:p>
        </w:tc>
        <w:tc>
          <w:tcPr>
            <w:tcW w:w="1442" w:type="dxa"/>
            <w:tcBorders>
              <w:top w:val="nil"/>
              <w:left w:val="nil"/>
              <w:right w:val="single" w:sz="8" w:space="0" w:color="auto"/>
            </w:tcBorders>
            <w:tcMar>
              <w:top w:w="0" w:type="dxa"/>
              <w:left w:w="108" w:type="dxa"/>
              <w:bottom w:w="0" w:type="dxa"/>
              <w:right w:w="108" w:type="dxa"/>
            </w:tcMar>
            <w:hideMark/>
          </w:tcPr>
          <w:p w:rsidR="00FE23B0" w:rsidRPr="003D7135" w:rsidRDefault="00F22E38">
            <w:pPr>
              <w:rPr>
                <w:rFonts w:ascii="Verdana" w:hAnsi="Verdana"/>
                <w:sz w:val="18"/>
                <w:szCs w:val="18"/>
              </w:rPr>
            </w:pPr>
            <w:r w:rsidRPr="003D7135">
              <w:rPr>
                <w:rFonts w:ascii="Verdana" w:hAnsi="Verdana"/>
                <w:sz w:val="18"/>
                <w:szCs w:val="18"/>
              </w:rPr>
              <w:t xml:space="preserve">PI </w:t>
            </w:r>
          </w:p>
        </w:tc>
        <w:tc>
          <w:tcPr>
            <w:tcW w:w="4053" w:type="dxa"/>
            <w:tcBorders>
              <w:top w:val="nil"/>
              <w:left w:val="nil"/>
              <w:right w:val="single" w:sz="8" w:space="0" w:color="auto"/>
            </w:tcBorders>
            <w:tcMar>
              <w:top w:w="0" w:type="dxa"/>
              <w:left w:w="108" w:type="dxa"/>
              <w:bottom w:w="0" w:type="dxa"/>
              <w:right w:w="108" w:type="dxa"/>
            </w:tcMar>
            <w:hideMark/>
          </w:tcPr>
          <w:p w:rsidR="00FE23B0" w:rsidRPr="003D7135" w:rsidRDefault="000F44A5">
            <w:pPr>
              <w:rPr>
                <w:rFonts w:ascii="Verdana" w:hAnsi="Verdana"/>
                <w:sz w:val="18"/>
                <w:szCs w:val="18"/>
              </w:rPr>
            </w:pPr>
            <w:r w:rsidRPr="003D7135">
              <w:rPr>
                <w:rFonts w:ascii="Verdana" w:hAnsi="Verdana"/>
                <w:sz w:val="18"/>
                <w:szCs w:val="18"/>
              </w:rPr>
              <w:t>Keep list of (non-)participation</w:t>
            </w:r>
            <w:r w:rsidR="008B0952" w:rsidRPr="003D7135">
              <w:rPr>
                <w:rFonts w:ascii="Verdana" w:hAnsi="Verdana"/>
                <w:sz w:val="18"/>
                <w:szCs w:val="18"/>
              </w:rPr>
              <w:t xml:space="preserve"> and monitor reasons for non-participation</w:t>
            </w:r>
            <w:r w:rsidRPr="003D7135">
              <w:rPr>
                <w:rFonts w:ascii="Verdana" w:hAnsi="Verdana"/>
                <w:sz w:val="18"/>
                <w:szCs w:val="18"/>
              </w:rPr>
              <w:t>. Ensure stop inclusion for interviews if target number is reached.</w:t>
            </w:r>
          </w:p>
        </w:tc>
      </w:tr>
      <w:tr w:rsidR="00010E83" w:rsidRPr="003D7135" w:rsidTr="003D7135">
        <w:tc>
          <w:tcPr>
            <w:tcW w:w="959"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rsidR="007C6B50" w:rsidRPr="003D7135" w:rsidRDefault="007C6B50" w:rsidP="003D7135">
            <w:pPr>
              <w:pStyle w:val="Lijstalinea"/>
              <w:numPr>
                <w:ilvl w:val="0"/>
                <w:numId w:val="2"/>
              </w:numPr>
              <w:ind w:left="426"/>
              <w:rPr>
                <w:rFonts w:ascii="Verdana" w:hAnsi="Verdana"/>
                <w:sz w:val="18"/>
                <w:szCs w:val="18"/>
              </w:rPr>
            </w:pPr>
          </w:p>
        </w:tc>
        <w:tc>
          <w:tcPr>
            <w:tcW w:w="2834" w:type="dxa"/>
            <w:tcBorders>
              <w:top w:val="nil"/>
              <w:left w:val="nil"/>
              <w:bottom w:val="single" w:sz="4" w:space="0" w:color="auto"/>
              <w:right w:val="single" w:sz="8" w:space="0" w:color="auto"/>
            </w:tcBorders>
            <w:tcMar>
              <w:top w:w="0" w:type="dxa"/>
              <w:left w:w="108" w:type="dxa"/>
              <w:bottom w:w="0" w:type="dxa"/>
              <w:right w:w="108" w:type="dxa"/>
            </w:tcMar>
            <w:hideMark/>
          </w:tcPr>
          <w:p w:rsidR="001F66A8" w:rsidRPr="003D7135" w:rsidRDefault="00F22E38">
            <w:pPr>
              <w:rPr>
                <w:rFonts w:ascii="Verdana" w:hAnsi="Verdana"/>
                <w:sz w:val="18"/>
                <w:szCs w:val="18"/>
              </w:rPr>
            </w:pPr>
            <w:r w:rsidRPr="003D7135">
              <w:rPr>
                <w:rFonts w:ascii="Verdana" w:hAnsi="Verdana"/>
                <w:sz w:val="18"/>
                <w:szCs w:val="18"/>
              </w:rPr>
              <w:t xml:space="preserve">Daily monitor </w:t>
            </w:r>
            <w:r w:rsidR="008B0952" w:rsidRPr="003D7135">
              <w:rPr>
                <w:rFonts w:ascii="Verdana" w:hAnsi="Verdana"/>
                <w:sz w:val="18"/>
                <w:szCs w:val="18"/>
              </w:rPr>
              <w:t xml:space="preserve">and supervise </w:t>
            </w:r>
            <w:r w:rsidRPr="003D7135">
              <w:rPr>
                <w:rFonts w:ascii="Verdana" w:hAnsi="Verdana"/>
                <w:sz w:val="18"/>
                <w:szCs w:val="18"/>
              </w:rPr>
              <w:t>completeness and quality of filled interviews</w:t>
            </w:r>
          </w:p>
        </w:tc>
        <w:tc>
          <w:tcPr>
            <w:tcW w:w="1442" w:type="dxa"/>
            <w:tcBorders>
              <w:top w:val="nil"/>
              <w:left w:val="nil"/>
              <w:bottom w:val="single" w:sz="4" w:space="0" w:color="auto"/>
              <w:right w:val="single" w:sz="8" w:space="0" w:color="auto"/>
            </w:tcBorders>
            <w:tcMar>
              <w:top w:w="0" w:type="dxa"/>
              <w:left w:w="108" w:type="dxa"/>
              <w:bottom w:w="0" w:type="dxa"/>
              <w:right w:w="108" w:type="dxa"/>
            </w:tcMar>
            <w:hideMark/>
          </w:tcPr>
          <w:p w:rsidR="00FE23B0" w:rsidRPr="003D7135" w:rsidRDefault="00F22E38">
            <w:pPr>
              <w:rPr>
                <w:rFonts w:ascii="Verdana" w:hAnsi="Verdana"/>
                <w:sz w:val="18"/>
                <w:szCs w:val="18"/>
              </w:rPr>
            </w:pPr>
            <w:r w:rsidRPr="003D7135">
              <w:rPr>
                <w:rFonts w:ascii="Verdana" w:hAnsi="Verdana"/>
                <w:sz w:val="18"/>
                <w:szCs w:val="18"/>
              </w:rPr>
              <w:t>PI</w:t>
            </w:r>
          </w:p>
        </w:tc>
        <w:tc>
          <w:tcPr>
            <w:tcW w:w="4053" w:type="dxa"/>
            <w:tcBorders>
              <w:top w:val="nil"/>
              <w:left w:val="nil"/>
              <w:bottom w:val="single" w:sz="4" w:space="0" w:color="auto"/>
              <w:right w:val="single" w:sz="8" w:space="0" w:color="auto"/>
            </w:tcBorders>
            <w:tcMar>
              <w:top w:w="0" w:type="dxa"/>
              <w:left w:w="108" w:type="dxa"/>
              <w:bottom w:w="0" w:type="dxa"/>
              <w:right w:w="108" w:type="dxa"/>
            </w:tcMar>
            <w:hideMark/>
          </w:tcPr>
          <w:p w:rsidR="001F66A8" w:rsidRPr="003D7135" w:rsidRDefault="000F44A5">
            <w:pPr>
              <w:rPr>
                <w:rFonts w:ascii="Verdana" w:hAnsi="Verdana"/>
                <w:sz w:val="18"/>
                <w:szCs w:val="18"/>
              </w:rPr>
            </w:pPr>
            <w:r w:rsidRPr="003D7135">
              <w:rPr>
                <w:rFonts w:ascii="Verdana" w:hAnsi="Verdana"/>
                <w:sz w:val="18"/>
                <w:szCs w:val="18"/>
              </w:rPr>
              <w:t>If filled interview is incomplete or inconsistent, this needs to be completed with interviewer (and patient, if needed). Filled interviews are kept in a safe place.</w:t>
            </w:r>
          </w:p>
        </w:tc>
      </w:tr>
    </w:tbl>
    <w:p w:rsidR="003D7135" w:rsidRDefault="003D7135"/>
    <w:tbl>
      <w:tblPr>
        <w:tblW w:w="0" w:type="auto"/>
        <w:tblLayout w:type="fixed"/>
        <w:tblCellMar>
          <w:left w:w="0" w:type="dxa"/>
          <w:right w:w="0" w:type="dxa"/>
        </w:tblCellMar>
        <w:tblLook w:val="04A0"/>
      </w:tblPr>
      <w:tblGrid>
        <w:gridCol w:w="959"/>
        <w:gridCol w:w="2834"/>
        <w:gridCol w:w="1442"/>
        <w:gridCol w:w="4053"/>
      </w:tblGrid>
      <w:tr w:rsidR="003D7135" w:rsidRPr="003D7135" w:rsidTr="003D7135">
        <w:tc>
          <w:tcPr>
            <w:tcW w:w="959"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hideMark/>
          </w:tcPr>
          <w:p w:rsidR="003D7135" w:rsidRPr="003D7135" w:rsidRDefault="003D7135" w:rsidP="003D7135">
            <w:pPr>
              <w:pStyle w:val="Lijstalinea"/>
              <w:spacing w:after="0"/>
              <w:ind w:left="0"/>
              <w:rPr>
                <w:rFonts w:ascii="Verdana" w:hAnsi="Verdana"/>
                <w:b/>
                <w:sz w:val="18"/>
                <w:szCs w:val="18"/>
              </w:rPr>
            </w:pPr>
            <w:r>
              <w:lastRenderedPageBreak/>
              <w:br w:type="page"/>
            </w:r>
            <w:bookmarkStart w:id="0" w:name="_GoBack"/>
            <w:bookmarkEnd w:id="0"/>
            <w:r w:rsidRPr="003D7135">
              <w:rPr>
                <w:rFonts w:ascii="Verdana" w:hAnsi="Verdana"/>
                <w:b/>
                <w:sz w:val="18"/>
                <w:szCs w:val="18"/>
              </w:rPr>
              <w:t>Step</w:t>
            </w:r>
          </w:p>
        </w:tc>
        <w:tc>
          <w:tcPr>
            <w:tcW w:w="2834" w:type="dxa"/>
            <w:tcBorders>
              <w:top w:val="single" w:sz="4" w:space="0" w:color="auto"/>
              <w:left w:val="nil"/>
              <w:bottom w:val="single" w:sz="4" w:space="0" w:color="auto"/>
              <w:right w:val="single" w:sz="8" w:space="0" w:color="auto"/>
            </w:tcBorders>
            <w:tcMar>
              <w:top w:w="0" w:type="dxa"/>
              <w:left w:w="108" w:type="dxa"/>
              <w:bottom w:w="0" w:type="dxa"/>
              <w:right w:w="108" w:type="dxa"/>
            </w:tcMar>
            <w:hideMark/>
          </w:tcPr>
          <w:p w:rsidR="003D7135" w:rsidRPr="003D7135" w:rsidRDefault="003D7135" w:rsidP="00707C2B">
            <w:pPr>
              <w:rPr>
                <w:rFonts w:ascii="Verdana" w:hAnsi="Verdana"/>
                <w:b/>
                <w:sz w:val="18"/>
                <w:szCs w:val="18"/>
              </w:rPr>
            </w:pPr>
            <w:r w:rsidRPr="003D7135">
              <w:rPr>
                <w:rFonts w:ascii="Verdana" w:hAnsi="Verdana"/>
                <w:b/>
                <w:sz w:val="18"/>
                <w:szCs w:val="18"/>
              </w:rPr>
              <w:t>Description</w:t>
            </w:r>
          </w:p>
        </w:tc>
        <w:tc>
          <w:tcPr>
            <w:tcW w:w="1442" w:type="dxa"/>
            <w:tcBorders>
              <w:top w:val="single" w:sz="4" w:space="0" w:color="auto"/>
              <w:left w:val="nil"/>
              <w:bottom w:val="single" w:sz="4" w:space="0" w:color="auto"/>
              <w:right w:val="single" w:sz="8" w:space="0" w:color="auto"/>
            </w:tcBorders>
            <w:tcMar>
              <w:top w:w="0" w:type="dxa"/>
              <w:left w:w="108" w:type="dxa"/>
              <w:bottom w:w="0" w:type="dxa"/>
              <w:right w:w="108" w:type="dxa"/>
            </w:tcMar>
            <w:hideMark/>
          </w:tcPr>
          <w:p w:rsidR="003D7135" w:rsidRPr="003D7135" w:rsidRDefault="003D7135" w:rsidP="00707C2B">
            <w:pPr>
              <w:rPr>
                <w:rFonts w:ascii="Verdana" w:hAnsi="Verdana"/>
                <w:b/>
                <w:sz w:val="18"/>
                <w:szCs w:val="18"/>
              </w:rPr>
            </w:pPr>
            <w:r w:rsidRPr="003D7135">
              <w:rPr>
                <w:rFonts w:ascii="Verdana" w:hAnsi="Verdana"/>
                <w:b/>
                <w:sz w:val="18"/>
                <w:szCs w:val="18"/>
              </w:rPr>
              <w:t>Responsible</w:t>
            </w:r>
          </w:p>
        </w:tc>
        <w:tc>
          <w:tcPr>
            <w:tcW w:w="4053" w:type="dxa"/>
            <w:tcBorders>
              <w:top w:val="single" w:sz="4" w:space="0" w:color="auto"/>
              <w:left w:val="nil"/>
              <w:bottom w:val="single" w:sz="4" w:space="0" w:color="auto"/>
              <w:right w:val="single" w:sz="8" w:space="0" w:color="auto"/>
            </w:tcBorders>
            <w:tcMar>
              <w:top w:w="0" w:type="dxa"/>
              <w:left w:w="108" w:type="dxa"/>
              <w:bottom w:w="0" w:type="dxa"/>
              <w:right w:w="108" w:type="dxa"/>
            </w:tcMar>
            <w:hideMark/>
          </w:tcPr>
          <w:p w:rsidR="003D7135" w:rsidRPr="003D7135" w:rsidRDefault="003D7135" w:rsidP="00707C2B">
            <w:pPr>
              <w:rPr>
                <w:rFonts w:ascii="Verdana" w:hAnsi="Verdana"/>
                <w:b/>
                <w:sz w:val="18"/>
                <w:szCs w:val="18"/>
              </w:rPr>
            </w:pPr>
            <w:r w:rsidRPr="003D7135">
              <w:rPr>
                <w:rFonts w:ascii="Verdana" w:hAnsi="Verdana"/>
                <w:b/>
                <w:sz w:val="18"/>
                <w:szCs w:val="18"/>
              </w:rPr>
              <w:t>Remarks</w:t>
            </w:r>
          </w:p>
        </w:tc>
      </w:tr>
      <w:tr w:rsidR="00010E83" w:rsidRPr="003D7135" w:rsidTr="003D7135">
        <w:tc>
          <w:tcPr>
            <w:tcW w:w="959" w:type="dxa"/>
            <w:tcBorders>
              <w:top w:val="single" w:sz="4" w:space="0" w:color="auto"/>
              <w:left w:val="single" w:sz="8" w:space="0" w:color="auto"/>
              <w:bottom w:val="nil"/>
              <w:right w:val="single" w:sz="8" w:space="0" w:color="auto"/>
            </w:tcBorders>
            <w:tcMar>
              <w:top w:w="0" w:type="dxa"/>
              <w:left w:w="108" w:type="dxa"/>
              <w:bottom w:w="0" w:type="dxa"/>
              <w:right w:w="108" w:type="dxa"/>
            </w:tcMar>
            <w:hideMark/>
          </w:tcPr>
          <w:p w:rsidR="007C6B50" w:rsidRPr="003D7135" w:rsidRDefault="007C6B50" w:rsidP="003D7135">
            <w:pPr>
              <w:pStyle w:val="Lijstalinea"/>
              <w:numPr>
                <w:ilvl w:val="0"/>
                <w:numId w:val="2"/>
              </w:numPr>
              <w:ind w:left="426"/>
              <w:rPr>
                <w:rFonts w:ascii="Verdana" w:hAnsi="Verdana"/>
                <w:sz w:val="18"/>
                <w:szCs w:val="18"/>
              </w:rPr>
            </w:pPr>
          </w:p>
        </w:tc>
        <w:tc>
          <w:tcPr>
            <w:tcW w:w="2834" w:type="dxa"/>
            <w:tcBorders>
              <w:top w:val="single" w:sz="4" w:space="0" w:color="auto"/>
              <w:left w:val="nil"/>
              <w:bottom w:val="nil"/>
              <w:right w:val="single" w:sz="8" w:space="0" w:color="auto"/>
            </w:tcBorders>
            <w:tcMar>
              <w:top w:w="0" w:type="dxa"/>
              <w:left w:w="108" w:type="dxa"/>
              <w:bottom w:w="0" w:type="dxa"/>
              <w:right w:w="108" w:type="dxa"/>
            </w:tcMar>
            <w:hideMark/>
          </w:tcPr>
          <w:p w:rsidR="00FE23B0" w:rsidRPr="003D7135" w:rsidRDefault="008B0952">
            <w:pPr>
              <w:rPr>
                <w:rFonts w:ascii="Verdana" w:hAnsi="Verdana"/>
                <w:sz w:val="18"/>
                <w:szCs w:val="18"/>
              </w:rPr>
            </w:pPr>
            <w:r w:rsidRPr="003D7135">
              <w:rPr>
                <w:rFonts w:ascii="Verdana" w:hAnsi="Verdana"/>
                <w:sz w:val="18"/>
                <w:szCs w:val="18"/>
              </w:rPr>
              <w:t>Monitor and supervise data-entry</w:t>
            </w:r>
          </w:p>
        </w:tc>
        <w:tc>
          <w:tcPr>
            <w:tcW w:w="1442" w:type="dxa"/>
            <w:tcBorders>
              <w:top w:val="single" w:sz="4" w:space="0" w:color="auto"/>
              <w:left w:val="nil"/>
              <w:bottom w:val="nil"/>
              <w:right w:val="single" w:sz="8" w:space="0" w:color="auto"/>
            </w:tcBorders>
            <w:tcMar>
              <w:top w:w="0" w:type="dxa"/>
              <w:left w:w="108" w:type="dxa"/>
              <w:bottom w:w="0" w:type="dxa"/>
              <w:right w:w="108" w:type="dxa"/>
            </w:tcMar>
            <w:hideMark/>
          </w:tcPr>
          <w:p w:rsidR="00FE23B0" w:rsidRPr="003D7135" w:rsidRDefault="008B0952">
            <w:pPr>
              <w:rPr>
                <w:rFonts w:ascii="Verdana" w:hAnsi="Verdana"/>
                <w:sz w:val="18"/>
                <w:szCs w:val="18"/>
              </w:rPr>
            </w:pPr>
            <w:r w:rsidRPr="003D7135">
              <w:rPr>
                <w:rFonts w:ascii="Verdana" w:hAnsi="Verdana"/>
                <w:sz w:val="18"/>
                <w:szCs w:val="18"/>
              </w:rPr>
              <w:t>PI</w:t>
            </w:r>
          </w:p>
        </w:tc>
        <w:tc>
          <w:tcPr>
            <w:tcW w:w="4053" w:type="dxa"/>
            <w:tcBorders>
              <w:top w:val="single" w:sz="4" w:space="0" w:color="auto"/>
              <w:left w:val="nil"/>
              <w:bottom w:val="nil"/>
              <w:right w:val="single" w:sz="8" w:space="0" w:color="auto"/>
            </w:tcBorders>
            <w:tcMar>
              <w:top w:w="0" w:type="dxa"/>
              <w:left w:w="108" w:type="dxa"/>
              <w:bottom w:w="0" w:type="dxa"/>
              <w:right w:w="108" w:type="dxa"/>
            </w:tcMar>
            <w:hideMark/>
          </w:tcPr>
          <w:p w:rsidR="00FE23B0" w:rsidRPr="003D7135" w:rsidRDefault="00010E83">
            <w:pPr>
              <w:rPr>
                <w:rFonts w:ascii="Verdana" w:hAnsi="Verdana"/>
                <w:sz w:val="18"/>
                <w:szCs w:val="18"/>
              </w:rPr>
            </w:pPr>
            <w:r w:rsidRPr="003D7135">
              <w:rPr>
                <w:rFonts w:ascii="Verdana" w:hAnsi="Verdana"/>
                <w:sz w:val="18"/>
                <w:szCs w:val="18"/>
              </w:rPr>
              <w:t>Cross-check with paper forms (e.g. randomly select 10-20% of the forms and compare with computer data)</w:t>
            </w:r>
          </w:p>
        </w:tc>
      </w:tr>
      <w:tr w:rsidR="00010E83" w:rsidRPr="003D7135" w:rsidTr="003D7135">
        <w:tc>
          <w:tcPr>
            <w:tcW w:w="959" w:type="dxa"/>
            <w:tcBorders>
              <w:top w:val="nil"/>
              <w:left w:val="single" w:sz="8" w:space="0" w:color="auto"/>
              <w:bottom w:val="nil"/>
              <w:right w:val="single" w:sz="8" w:space="0" w:color="auto"/>
            </w:tcBorders>
            <w:tcMar>
              <w:top w:w="0" w:type="dxa"/>
              <w:left w:w="108" w:type="dxa"/>
              <w:bottom w:w="0" w:type="dxa"/>
              <w:right w:w="108" w:type="dxa"/>
            </w:tcMar>
            <w:hideMark/>
          </w:tcPr>
          <w:p w:rsidR="00010E83" w:rsidRPr="003D7135" w:rsidRDefault="00010E83" w:rsidP="003D7135">
            <w:pPr>
              <w:pStyle w:val="Lijstalinea"/>
              <w:numPr>
                <w:ilvl w:val="0"/>
                <w:numId w:val="2"/>
              </w:numPr>
              <w:ind w:left="426"/>
              <w:rPr>
                <w:rFonts w:ascii="Verdana" w:hAnsi="Verdana"/>
                <w:sz w:val="18"/>
                <w:szCs w:val="18"/>
              </w:rPr>
            </w:pPr>
          </w:p>
        </w:tc>
        <w:tc>
          <w:tcPr>
            <w:tcW w:w="2834" w:type="dxa"/>
            <w:tcBorders>
              <w:top w:val="nil"/>
              <w:left w:val="nil"/>
              <w:bottom w:val="nil"/>
              <w:right w:val="single" w:sz="8" w:space="0" w:color="auto"/>
            </w:tcBorders>
            <w:tcMar>
              <w:top w:w="0" w:type="dxa"/>
              <w:left w:w="108" w:type="dxa"/>
              <w:bottom w:w="0" w:type="dxa"/>
              <w:right w:w="108" w:type="dxa"/>
            </w:tcMar>
            <w:hideMark/>
          </w:tcPr>
          <w:p w:rsidR="00010E83" w:rsidRPr="003D7135" w:rsidRDefault="00010E83">
            <w:pPr>
              <w:rPr>
                <w:rFonts w:ascii="Verdana" w:hAnsi="Verdana"/>
                <w:sz w:val="18"/>
                <w:szCs w:val="18"/>
              </w:rPr>
            </w:pPr>
            <w:r w:rsidRPr="003D7135">
              <w:rPr>
                <w:rFonts w:ascii="Verdana" w:hAnsi="Verdana"/>
                <w:sz w:val="18"/>
                <w:szCs w:val="18"/>
              </w:rPr>
              <w:t>Conduct data cleaning and validation</w:t>
            </w:r>
          </w:p>
        </w:tc>
        <w:tc>
          <w:tcPr>
            <w:tcW w:w="1442" w:type="dxa"/>
            <w:tcBorders>
              <w:top w:val="nil"/>
              <w:left w:val="nil"/>
              <w:bottom w:val="nil"/>
              <w:right w:val="single" w:sz="8" w:space="0" w:color="auto"/>
            </w:tcBorders>
            <w:tcMar>
              <w:top w:w="0" w:type="dxa"/>
              <w:left w:w="108" w:type="dxa"/>
              <w:bottom w:w="0" w:type="dxa"/>
              <w:right w:w="108" w:type="dxa"/>
            </w:tcMar>
            <w:hideMark/>
          </w:tcPr>
          <w:p w:rsidR="00010E83" w:rsidRPr="003D7135" w:rsidRDefault="00010E83">
            <w:pPr>
              <w:rPr>
                <w:rFonts w:ascii="Verdana" w:hAnsi="Verdana"/>
                <w:sz w:val="18"/>
                <w:szCs w:val="18"/>
              </w:rPr>
            </w:pPr>
            <w:r w:rsidRPr="003D7135">
              <w:rPr>
                <w:rFonts w:ascii="Verdana" w:hAnsi="Verdana"/>
                <w:sz w:val="18"/>
                <w:szCs w:val="18"/>
              </w:rPr>
              <w:t>PI</w:t>
            </w:r>
          </w:p>
        </w:tc>
        <w:tc>
          <w:tcPr>
            <w:tcW w:w="4053" w:type="dxa"/>
            <w:tcBorders>
              <w:top w:val="nil"/>
              <w:left w:val="nil"/>
              <w:bottom w:val="nil"/>
              <w:right w:val="single" w:sz="8" w:space="0" w:color="auto"/>
            </w:tcBorders>
            <w:tcMar>
              <w:top w:w="0" w:type="dxa"/>
              <w:left w:w="108" w:type="dxa"/>
              <w:bottom w:w="0" w:type="dxa"/>
              <w:right w:w="108" w:type="dxa"/>
            </w:tcMar>
            <w:hideMark/>
          </w:tcPr>
          <w:p w:rsidR="00010E83" w:rsidRPr="003D7135" w:rsidRDefault="00010E83">
            <w:pPr>
              <w:rPr>
                <w:rFonts w:ascii="Verdana" w:hAnsi="Verdana"/>
                <w:sz w:val="18"/>
                <w:szCs w:val="18"/>
              </w:rPr>
            </w:pPr>
            <w:r w:rsidRPr="003D7135">
              <w:rPr>
                <w:rFonts w:ascii="Verdana" w:hAnsi="Verdana"/>
                <w:sz w:val="18"/>
                <w:szCs w:val="18"/>
              </w:rPr>
              <w:t>Look for unlikely and missing entries and cross-check with paper forms; adapt if possible.</w:t>
            </w:r>
          </w:p>
        </w:tc>
      </w:tr>
      <w:tr w:rsidR="00010E83" w:rsidRPr="003D7135" w:rsidTr="003D7135">
        <w:tc>
          <w:tcPr>
            <w:tcW w:w="959" w:type="dxa"/>
            <w:tcBorders>
              <w:top w:val="nil"/>
              <w:left w:val="single" w:sz="8" w:space="0" w:color="auto"/>
              <w:bottom w:val="nil"/>
              <w:right w:val="single" w:sz="8" w:space="0" w:color="auto"/>
            </w:tcBorders>
            <w:tcMar>
              <w:top w:w="0" w:type="dxa"/>
              <w:left w:w="108" w:type="dxa"/>
              <w:bottom w:w="0" w:type="dxa"/>
              <w:right w:w="108" w:type="dxa"/>
            </w:tcMar>
            <w:hideMark/>
          </w:tcPr>
          <w:p w:rsidR="007C6B50" w:rsidRPr="003D7135" w:rsidRDefault="007C6B50" w:rsidP="003D7135">
            <w:pPr>
              <w:pStyle w:val="Lijstalinea"/>
              <w:numPr>
                <w:ilvl w:val="0"/>
                <w:numId w:val="2"/>
              </w:numPr>
              <w:ind w:left="426"/>
              <w:rPr>
                <w:rFonts w:ascii="Verdana" w:hAnsi="Verdana"/>
                <w:sz w:val="18"/>
                <w:szCs w:val="18"/>
              </w:rPr>
            </w:pPr>
          </w:p>
        </w:tc>
        <w:tc>
          <w:tcPr>
            <w:tcW w:w="2834" w:type="dxa"/>
            <w:tcBorders>
              <w:top w:val="nil"/>
              <w:left w:val="nil"/>
              <w:bottom w:val="nil"/>
              <w:right w:val="single" w:sz="8" w:space="0" w:color="auto"/>
            </w:tcBorders>
            <w:tcMar>
              <w:top w:w="0" w:type="dxa"/>
              <w:left w:w="108" w:type="dxa"/>
              <w:bottom w:w="0" w:type="dxa"/>
              <w:right w:w="108" w:type="dxa"/>
            </w:tcMar>
            <w:hideMark/>
          </w:tcPr>
          <w:p w:rsidR="00FE23B0" w:rsidRPr="003D7135" w:rsidRDefault="008B0952">
            <w:pPr>
              <w:rPr>
                <w:rFonts w:ascii="Verdana" w:hAnsi="Verdana"/>
                <w:sz w:val="18"/>
                <w:szCs w:val="18"/>
              </w:rPr>
            </w:pPr>
            <w:r w:rsidRPr="003D7135">
              <w:rPr>
                <w:rFonts w:ascii="Verdana" w:hAnsi="Verdana"/>
                <w:sz w:val="18"/>
                <w:szCs w:val="18"/>
              </w:rPr>
              <w:t>Supervise data-analysis and reporting</w:t>
            </w:r>
          </w:p>
        </w:tc>
        <w:tc>
          <w:tcPr>
            <w:tcW w:w="1442" w:type="dxa"/>
            <w:tcBorders>
              <w:top w:val="nil"/>
              <w:left w:val="nil"/>
              <w:bottom w:val="nil"/>
              <w:right w:val="single" w:sz="8" w:space="0" w:color="auto"/>
            </w:tcBorders>
            <w:tcMar>
              <w:top w:w="0" w:type="dxa"/>
              <w:left w:w="108" w:type="dxa"/>
              <w:bottom w:w="0" w:type="dxa"/>
              <w:right w:w="108" w:type="dxa"/>
            </w:tcMar>
            <w:hideMark/>
          </w:tcPr>
          <w:p w:rsidR="00FE23B0" w:rsidRPr="003D7135" w:rsidRDefault="008B0952">
            <w:pPr>
              <w:rPr>
                <w:rFonts w:ascii="Verdana" w:hAnsi="Verdana"/>
                <w:sz w:val="18"/>
                <w:szCs w:val="18"/>
              </w:rPr>
            </w:pPr>
            <w:r w:rsidRPr="003D7135">
              <w:rPr>
                <w:rFonts w:ascii="Verdana" w:hAnsi="Verdana"/>
                <w:sz w:val="18"/>
                <w:szCs w:val="18"/>
              </w:rPr>
              <w:t>PI</w:t>
            </w:r>
          </w:p>
        </w:tc>
        <w:tc>
          <w:tcPr>
            <w:tcW w:w="4053" w:type="dxa"/>
            <w:tcBorders>
              <w:top w:val="nil"/>
              <w:left w:val="nil"/>
              <w:bottom w:val="nil"/>
              <w:right w:val="single" w:sz="8" w:space="0" w:color="auto"/>
            </w:tcBorders>
            <w:tcMar>
              <w:top w:w="0" w:type="dxa"/>
              <w:left w:w="108" w:type="dxa"/>
              <w:bottom w:w="0" w:type="dxa"/>
              <w:right w:w="108" w:type="dxa"/>
            </w:tcMar>
            <w:hideMark/>
          </w:tcPr>
          <w:p w:rsidR="00FE23B0" w:rsidRPr="003D7135" w:rsidRDefault="00010E83">
            <w:pPr>
              <w:rPr>
                <w:rFonts w:ascii="Verdana" w:hAnsi="Verdana"/>
                <w:sz w:val="18"/>
                <w:szCs w:val="18"/>
              </w:rPr>
            </w:pPr>
            <w:r w:rsidRPr="003D7135">
              <w:rPr>
                <w:rFonts w:ascii="Verdana" w:hAnsi="Verdana"/>
                <w:sz w:val="18"/>
                <w:szCs w:val="18"/>
              </w:rPr>
              <w:t>Separate guidance will be developed for data analysis</w:t>
            </w:r>
          </w:p>
        </w:tc>
      </w:tr>
      <w:tr w:rsidR="00010E83" w:rsidRPr="003D7135" w:rsidTr="003D7135">
        <w:tc>
          <w:tcPr>
            <w:tcW w:w="959" w:type="dxa"/>
            <w:tcBorders>
              <w:top w:val="nil"/>
              <w:left w:val="single" w:sz="8" w:space="0" w:color="auto"/>
              <w:bottom w:val="nil"/>
              <w:right w:val="single" w:sz="8" w:space="0" w:color="auto"/>
            </w:tcBorders>
            <w:tcMar>
              <w:top w:w="0" w:type="dxa"/>
              <w:left w:w="108" w:type="dxa"/>
              <w:bottom w:w="0" w:type="dxa"/>
              <w:right w:w="108" w:type="dxa"/>
            </w:tcMar>
            <w:hideMark/>
          </w:tcPr>
          <w:p w:rsidR="007C6B50" w:rsidRPr="003D7135" w:rsidRDefault="007C6B50" w:rsidP="003D7135">
            <w:pPr>
              <w:pStyle w:val="Lijstalinea"/>
              <w:numPr>
                <w:ilvl w:val="0"/>
                <w:numId w:val="2"/>
              </w:numPr>
              <w:ind w:left="426"/>
              <w:rPr>
                <w:rFonts w:ascii="Verdana" w:hAnsi="Verdana"/>
                <w:sz w:val="18"/>
                <w:szCs w:val="18"/>
              </w:rPr>
            </w:pPr>
          </w:p>
        </w:tc>
        <w:tc>
          <w:tcPr>
            <w:tcW w:w="2834" w:type="dxa"/>
            <w:tcBorders>
              <w:top w:val="nil"/>
              <w:left w:val="nil"/>
              <w:bottom w:val="nil"/>
              <w:right w:val="single" w:sz="8" w:space="0" w:color="auto"/>
            </w:tcBorders>
            <w:tcMar>
              <w:top w:w="0" w:type="dxa"/>
              <w:left w:w="108" w:type="dxa"/>
              <w:bottom w:w="0" w:type="dxa"/>
              <w:right w:w="108" w:type="dxa"/>
            </w:tcMar>
            <w:hideMark/>
          </w:tcPr>
          <w:p w:rsidR="00FE23B0" w:rsidRPr="003D7135" w:rsidRDefault="008B0952">
            <w:pPr>
              <w:rPr>
                <w:rFonts w:ascii="Verdana" w:hAnsi="Verdana"/>
                <w:sz w:val="18"/>
                <w:szCs w:val="18"/>
              </w:rPr>
            </w:pPr>
            <w:r w:rsidRPr="003D7135">
              <w:rPr>
                <w:rFonts w:ascii="Verdana" w:hAnsi="Verdana"/>
                <w:sz w:val="18"/>
                <w:szCs w:val="18"/>
              </w:rPr>
              <w:t>Arrange policy workshop for dissemination of results and discussion of mitigation options</w:t>
            </w:r>
          </w:p>
        </w:tc>
        <w:tc>
          <w:tcPr>
            <w:tcW w:w="1442" w:type="dxa"/>
            <w:tcBorders>
              <w:top w:val="nil"/>
              <w:left w:val="nil"/>
              <w:bottom w:val="nil"/>
              <w:right w:val="single" w:sz="8" w:space="0" w:color="auto"/>
            </w:tcBorders>
            <w:tcMar>
              <w:top w:w="0" w:type="dxa"/>
              <w:left w:w="108" w:type="dxa"/>
              <w:bottom w:w="0" w:type="dxa"/>
              <w:right w:w="108" w:type="dxa"/>
            </w:tcMar>
            <w:hideMark/>
          </w:tcPr>
          <w:p w:rsidR="00FE23B0" w:rsidRPr="003D7135" w:rsidRDefault="008B0952">
            <w:pPr>
              <w:rPr>
                <w:rFonts w:ascii="Verdana" w:hAnsi="Verdana"/>
                <w:sz w:val="18"/>
                <w:szCs w:val="18"/>
              </w:rPr>
            </w:pPr>
            <w:r w:rsidRPr="003D7135">
              <w:rPr>
                <w:rFonts w:ascii="Verdana" w:hAnsi="Verdana"/>
                <w:sz w:val="18"/>
                <w:szCs w:val="18"/>
              </w:rPr>
              <w:t>PI</w:t>
            </w:r>
          </w:p>
        </w:tc>
        <w:tc>
          <w:tcPr>
            <w:tcW w:w="4053" w:type="dxa"/>
            <w:tcBorders>
              <w:top w:val="nil"/>
              <w:left w:val="nil"/>
              <w:bottom w:val="nil"/>
              <w:right w:val="single" w:sz="8" w:space="0" w:color="auto"/>
            </w:tcBorders>
            <w:tcMar>
              <w:top w:w="0" w:type="dxa"/>
              <w:left w:w="108" w:type="dxa"/>
              <w:bottom w:w="0" w:type="dxa"/>
              <w:right w:w="108" w:type="dxa"/>
            </w:tcMar>
            <w:hideMark/>
          </w:tcPr>
          <w:p w:rsidR="001F66A8" w:rsidRPr="003D7135" w:rsidRDefault="00751C5C">
            <w:pPr>
              <w:rPr>
                <w:rFonts w:ascii="Verdana" w:hAnsi="Verdana"/>
                <w:sz w:val="18"/>
                <w:szCs w:val="18"/>
              </w:rPr>
            </w:pPr>
            <w:r w:rsidRPr="003D7135">
              <w:rPr>
                <w:rFonts w:ascii="Verdana" w:hAnsi="Verdana"/>
                <w:sz w:val="18"/>
                <w:szCs w:val="18"/>
              </w:rPr>
              <w:t>Invite all relevant stakeholders: representing different Ministries Universities, hospitals, NGO’s, CSO’s, and patients</w:t>
            </w:r>
          </w:p>
        </w:tc>
      </w:tr>
      <w:tr w:rsidR="00010E83" w:rsidRPr="003D7135" w:rsidTr="003D7135">
        <w:tc>
          <w:tcPr>
            <w:tcW w:w="959" w:type="dxa"/>
            <w:tcBorders>
              <w:top w:val="nil"/>
              <w:left w:val="single" w:sz="8" w:space="0" w:color="auto"/>
              <w:bottom w:val="nil"/>
              <w:right w:val="single" w:sz="8" w:space="0" w:color="auto"/>
            </w:tcBorders>
            <w:tcMar>
              <w:top w:w="0" w:type="dxa"/>
              <w:left w:w="108" w:type="dxa"/>
              <w:bottom w:w="0" w:type="dxa"/>
              <w:right w:w="108" w:type="dxa"/>
            </w:tcMar>
            <w:hideMark/>
          </w:tcPr>
          <w:p w:rsidR="007C6B50" w:rsidRPr="003D7135" w:rsidRDefault="007C6B50" w:rsidP="003D7135">
            <w:pPr>
              <w:pStyle w:val="Lijstalinea"/>
              <w:numPr>
                <w:ilvl w:val="0"/>
                <w:numId w:val="2"/>
              </w:numPr>
              <w:ind w:left="426"/>
              <w:rPr>
                <w:rFonts w:ascii="Verdana" w:hAnsi="Verdana"/>
                <w:sz w:val="18"/>
                <w:szCs w:val="18"/>
              </w:rPr>
            </w:pPr>
          </w:p>
        </w:tc>
        <w:tc>
          <w:tcPr>
            <w:tcW w:w="2834" w:type="dxa"/>
            <w:tcBorders>
              <w:top w:val="nil"/>
              <w:left w:val="nil"/>
              <w:bottom w:val="nil"/>
              <w:right w:val="single" w:sz="8" w:space="0" w:color="auto"/>
            </w:tcBorders>
            <w:tcMar>
              <w:top w:w="0" w:type="dxa"/>
              <w:left w:w="108" w:type="dxa"/>
              <w:bottom w:w="0" w:type="dxa"/>
              <w:right w:w="108" w:type="dxa"/>
            </w:tcMar>
            <w:hideMark/>
          </w:tcPr>
          <w:p w:rsidR="00FE23B0" w:rsidRPr="003D7135" w:rsidRDefault="008B0952">
            <w:pPr>
              <w:rPr>
                <w:rFonts w:ascii="Verdana" w:hAnsi="Verdana"/>
                <w:sz w:val="18"/>
                <w:szCs w:val="18"/>
              </w:rPr>
            </w:pPr>
            <w:r w:rsidRPr="003D7135">
              <w:rPr>
                <w:rFonts w:ascii="Verdana" w:hAnsi="Verdana"/>
                <w:sz w:val="18"/>
                <w:szCs w:val="18"/>
              </w:rPr>
              <w:t>Follow-up on results of the workshop</w:t>
            </w:r>
          </w:p>
        </w:tc>
        <w:tc>
          <w:tcPr>
            <w:tcW w:w="1442" w:type="dxa"/>
            <w:tcBorders>
              <w:top w:val="nil"/>
              <w:left w:val="nil"/>
              <w:bottom w:val="nil"/>
              <w:right w:val="single" w:sz="8" w:space="0" w:color="auto"/>
            </w:tcBorders>
            <w:tcMar>
              <w:top w:w="0" w:type="dxa"/>
              <w:left w:w="108" w:type="dxa"/>
              <w:bottom w:w="0" w:type="dxa"/>
              <w:right w:w="108" w:type="dxa"/>
            </w:tcMar>
            <w:hideMark/>
          </w:tcPr>
          <w:p w:rsidR="00FE23B0" w:rsidRPr="003D7135" w:rsidRDefault="008B0952">
            <w:pPr>
              <w:rPr>
                <w:rFonts w:ascii="Verdana" w:hAnsi="Verdana"/>
                <w:sz w:val="18"/>
                <w:szCs w:val="18"/>
              </w:rPr>
            </w:pPr>
            <w:r w:rsidRPr="003D7135">
              <w:rPr>
                <w:rFonts w:ascii="Verdana" w:hAnsi="Verdana"/>
                <w:sz w:val="18"/>
                <w:szCs w:val="18"/>
              </w:rPr>
              <w:t>PI</w:t>
            </w:r>
          </w:p>
        </w:tc>
        <w:tc>
          <w:tcPr>
            <w:tcW w:w="4053" w:type="dxa"/>
            <w:tcBorders>
              <w:top w:val="nil"/>
              <w:left w:val="nil"/>
              <w:bottom w:val="nil"/>
              <w:right w:val="single" w:sz="8" w:space="0" w:color="auto"/>
            </w:tcBorders>
            <w:tcMar>
              <w:top w:w="0" w:type="dxa"/>
              <w:left w:w="108" w:type="dxa"/>
              <w:bottom w:w="0" w:type="dxa"/>
              <w:right w:w="108" w:type="dxa"/>
            </w:tcMar>
            <w:hideMark/>
          </w:tcPr>
          <w:p w:rsidR="00FE23B0" w:rsidRPr="003D7135" w:rsidRDefault="00FE23B0">
            <w:pPr>
              <w:rPr>
                <w:rFonts w:ascii="Verdana" w:hAnsi="Verdana"/>
                <w:sz w:val="18"/>
                <w:szCs w:val="18"/>
              </w:rPr>
            </w:pPr>
          </w:p>
        </w:tc>
      </w:tr>
      <w:tr w:rsidR="00010E83" w:rsidRPr="003D7135" w:rsidTr="003D7135">
        <w:tc>
          <w:tcPr>
            <w:tcW w:w="95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E23B0" w:rsidRPr="003D7135" w:rsidRDefault="00FE23B0">
            <w:pPr>
              <w:rPr>
                <w:rFonts w:ascii="Verdana" w:hAnsi="Verdana"/>
                <w:sz w:val="18"/>
                <w:szCs w:val="18"/>
              </w:rPr>
            </w:pPr>
          </w:p>
        </w:tc>
        <w:tc>
          <w:tcPr>
            <w:tcW w:w="2834" w:type="dxa"/>
            <w:tcBorders>
              <w:top w:val="nil"/>
              <w:left w:val="nil"/>
              <w:bottom w:val="single" w:sz="8" w:space="0" w:color="auto"/>
              <w:right w:val="single" w:sz="8" w:space="0" w:color="auto"/>
            </w:tcBorders>
            <w:tcMar>
              <w:top w:w="0" w:type="dxa"/>
              <w:left w:w="108" w:type="dxa"/>
              <w:bottom w:w="0" w:type="dxa"/>
              <w:right w:w="108" w:type="dxa"/>
            </w:tcMar>
            <w:hideMark/>
          </w:tcPr>
          <w:p w:rsidR="00FE23B0" w:rsidRPr="003D7135" w:rsidRDefault="00FE23B0">
            <w:pPr>
              <w:rPr>
                <w:rFonts w:ascii="Verdana" w:hAnsi="Verdana"/>
                <w:sz w:val="18"/>
                <w:szCs w:val="18"/>
              </w:rPr>
            </w:pPr>
          </w:p>
        </w:tc>
        <w:tc>
          <w:tcPr>
            <w:tcW w:w="1442" w:type="dxa"/>
            <w:tcBorders>
              <w:top w:val="nil"/>
              <w:left w:val="nil"/>
              <w:bottom w:val="single" w:sz="8" w:space="0" w:color="auto"/>
              <w:right w:val="single" w:sz="8" w:space="0" w:color="auto"/>
            </w:tcBorders>
            <w:tcMar>
              <w:top w:w="0" w:type="dxa"/>
              <w:left w:w="108" w:type="dxa"/>
              <w:bottom w:w="0" w:type="dxa"/>
              <w:right w:w="108" w:type="dxa"/>
            </w:tcMar>
            <w:hideMark/>
          </w:tcPr>
          <w:p w:rsidR="00FE23B0" w:rsidRPr="003D7135" w:rsidRDefault="00FE23B0">
            <w:pPr>
              <w:rPr>
                <w:rFonts w:ascii="Verdana" w:hAnsi="Verdana"/>
                <w:sz w:val="18"/>
                <w:szCs w:val="18"/>
              </w:rPr>
            </w:pPr>
          </w:p>
        </w:tc>
        <w:tc>
          <w:tcPr>
            <w:tcW w:w="4053" w:type="dxa"/>
            <w:tcBorders>
              <w:top w:val="nil"/>
              <w:left w:val="nil"/>
              <w:bottom w:val="single" w:sz="8" w:space="0" w:color="auto"/>
              <w:right w:val="single" w:sz="8" w:space="0" w:color="auto"/>
            </w:tcBorders>
            <w:tcMar>
              <w:top w:w="0" w:type="dxa"/>
              <w:left w:w="108" w:type="dxa"/>
              <w:bottom w:w="0" w:type="dxa"/>
              <w:right w:w="108" w:type="dxa"/>
            </w:tcMar>
            <w:hideMark/>
          </w:tcPr>
          <w:p w:rsidR="00FE23B0" w:rsidRPr="003D7135" w:rsidRDefault="00FE23B0">
            <w:pPr>
              <w:rPr>
                <w:rFonts w:ascii="Verdana" w:hAnsi="Verdana"/>
                <w:sz w:val="18"/>
                <w:szCs w:val="18"/>
              </w:rPr>
            </w:pPr>
          </w:p>
        </w:tc>
      </w:tr>
    </w:tbl>
    <w:p w:rsidR="00210E85" w:rsidRPr="003D7135" w:rsidRDefault="00210E85" w:rsidP="00210E85">
      <w:pPr>
        <w:rPr>
          <w:rFonts w:ascii="Verdana" w:hAnsi="Verdana"/>
          <w:sz w:val="18"/>
          <w:szCs w:val="18"/>
        </w:rPr>
      </w:pPr>
    </w:p>
    <w:p w:rsidR="00D31006" w:rsidRPr="003D7135" w:rsidRDefault="00D31006" w:rsidP="00FE6DA8">
      <w:pPr>
        <w:spacing w:after="20"/>
        <w:rPr>
          <w:rFonts w:ascii="Verdana" w:hAnsi="Verdana"/>
          <w:sz w:val="18"/>
          <w:szCs w:val="18"/>
        </w:rPr>
      </w:pPr>
    </w:p>
    <w:p w:rsidR="00FE6DA8" w:rsidRPr="003D7135" w:rsidRDefault="007C6B50" w:rsidP="00FE6DA8">
      <w:pPr>
        <w:spacing w:after="20"/>
        <w:rPr>
          <w:rFonts w:ascii="Verdana" w:hAnsi="Verdana"/>
          <w:sz w:val="18"/>
          <w:szCs w:val="18"/>
        </w:rPr>
      </w:pPr>
      <w:r w:rsidRPr="003D7135">
        <w:rPr>
          <w:rFonts w:ascii="Verdana" w:hAnsi="Verdana"/>
          <w:b/>
          <w:sz w:val="18"/>
          <w:szCs w:val="18"/>
        </w:rPr>
        <w:t>The 5 groups in different phases of diagnosis and treatment are</w:t>
      </w:r>
      <w:r w:rsidR="00FE6DA8" w:rsidRPr="003D7135">
        <w:rPr>
          <w:rFonts w:ascii="Verdana" w:hAnsi="Verdana"/>
          <w:sz w:val="18"/>
          <w:szCs w:val="18"/>
        </w:rPr>
        <w:t>:</w:t>
      </w:r>
    </w:p>
    <w:p w:rsidR="00FE6DA8" w:rsidRPr="003D7135" w:rsidRDefault="00FE6DA8" w:rsidP="00FE6DA8">
      <w:pPr>
        <w:numPr>
          <w:ilvl w:val="0"/>
          <w:numId w:val="1"/>
        </w:numPr>
        <w:spacing w:after="20"/>
        <w:rPr>
          <w:rFonts w:ascii="Verdana" w:hAnsi="Verdana"/>
          <w:sz w:val="18"/>
          <w:szCs w:val="18"/>
        </w:rPr>
      </w:pPr>
      <w:r w:rsidRPr="003D7135">
        <w:rPr>
          <w:rFonts w:ascii="Verdana" w:hAnsi="Verdana"/>
          <w:sz w:val="18"/>
          <w:szCs w:val="18"/>
        </w:rPr>
        <w:t>TB patients who are within last month of intensive phase of TB treatment (recall period: last three months including pre-diagnosis period; but including all major coping costs outside the 3-month period)</w:t>
      </w:r>
    </w:p>
    <w:p w:rsidR="00FE6DA8" w:rsidRPr="003D7135" w:rsidRDefault="00FE6DA8" w:rsidP="00FE6DA8">
      <w:pPr>
        <w:numPr>
          <w:ilvl w:val="0"/>
          <w:numId w:val="1"/>
        </w:numPr>
        <w:spacing w:after="20"/>
        <w:rPr>
          <w:rFonts w:ascii="Verdana" w:hAnsi="Verdana"/>
          <w:sz w:val="18"/>
          <w:szCs w:val="18"/>
        </w:rPr>
      </w:pPr>
      <w:r w:rsidRPr="003D7135">
        <w:rPr>
          <w:rFonts w:ascii="Verdana" w:hAnsi="Verdana"/>
          <w:sz w:val="18"/>
          <w:szCs w:val="18"/>
        </w:rPr>
        <w:t xml:space="preserve">TB patients at least 3 months in continuation phase of TB treatment (recall period: last three months i.e. covers a part of the continuation phase; but including all major coping costs outside the 3-month period); </w:t>
      </w:r>
    </w:p>
    <w:p w:rsidR="00FE6DA8" w:rsidRPr="003D7135" w:rsidRDefault="00FE6DA8" w:rsidP="00FE6DA8">
      <w:pPr>
        <w:numPr>
          <w:ilvl w:val="0"/>
          <w:numId w:val="1"/>
        </w:numPr>
        <w:spacing w:after="20"/>
        <w:rPr>
          <w:rFonts w:ascii="Verdana" w:hAnsi="Verdana"/>
          <w:sz w:val="18"/>
          <w:szCs w:val="18"/>
        </w:rPr>
      </w:pPr>
      <w:r w:rsidRPr="003D7135">
        <w:rPr>
          <w:rFonts w:ascii="Verdana" w:hAnsi="Verdana"/>
          <w:sz w:val="18"/>
          <w:szCs w:val="18"/>
        </w:rPr>
        <w:t>just diagnosed as MDR-TB patient (recall period: last three months but including all major coping costs outside the 3-month period)</w:t>
      </w:r>
    </w:p>
    <w:p w:rsidR="00FE6DA8" w:rsidRPr="003D7135" w:rsidRDefault="00FE6DA8" w:rsidP="00FE6DA8">
      <w:pPr>
        <w:numPr>
          <w:ilvl w:val="0"/>
          <w:numId w:val="1"/>
        </w:numPr>
        <w:spacing w:after="20"/>
        <w:rPr>
          <w:rFonts w:ascii="Verdana" w:hAnsi="Verdana"/>
          <w:sz w:val="18"/>
          <w:szCs w:val="18"/>
        </w:rPr>
      </w:pPr>
      <w:r w:rsidRPr="003D7135">
        <w:rPr>
          <w:rFonts w:ascii="Verdana" w:hAnsi="Verdana"/>
          <w:sz w:val="18"/>
          <w:szCs w:val="18"/>
        </w:rPr>
        <w:t>at least 3 months in intensive phase of MDR-TB treatment (recall period: last three months i.e. covers a part of the intensive phase; but including all major coping costs outside the 3-month period);</w:t>
      </w:r>
    </w:p>
    <w:p w:rsidR="00FE6DA8" w:rsidRPr="003D7135" w:rsidRDefault="00FE6DA8" w:rsidP="00FE6DA8">
      <w:pPr>
        <w:numPr>
          <w:ilvl w:val="0"/>
          <w:numId w:val="1"/>
        </w:numPr>
        <w:spacing w:after="20"/>
        <w:rPr>
          <w:rFonts w:ascii="Verdana" w:hAnsi="Verdana"/>
          <w:sz w:val="18"/>
          <w:szCs w:val="18"/>
        </w:rPr>
      </w:pPr>
      <w:r w:rsidRPr="003D7135">
        <w:rPr>
          <w:rFonts w:ascii="Verdana" w:hAnsi="Verdana"/>
          <w:sz w:val="18"/>
          <w:szCs w:val="18"/>
        </w:rPr>
        <w:t>at least 3 months in continuation phase of MDR-TB treatment (recall period: last three months i.e. covers a part of the continuation phase; but including all major coping costs outside the 3-month period).</w:t>
      </w:r>
    </w:p>
    <w:p w:rsidR="003D7135" w:rsidRDefault="003D7135" w:rsidP="001F66A8">
      <w:pPr>
        <w:spacing w:after="20"/>
        <w:rPr>
          <w:rFonts w:ascii="Verdana" w:hAnsi="Verdana"/>
          <w:b/>
          <w:sz w:val="18"/>
          <w:szCs w:val="18"/>
        </w:rPr>
      </w:pPr>
    </w:p>
    <w:p w:rsidR="001F66A8" w:rsidRPr="003D7135" w:rsidRDefault="001F66A8" w:rsidP="001F66A8">
      <w:pPr>
        <w:spacing w:after="20"/>
        <w:rPr>
          <w:rFonts w:ascii="Verdana" w:hAnsi="Verdana"/>
          <w:b/>
          <w:sz w:val="18"/>
          <w:szCs w:val="18"/>
        </w:rPr>
      </w:pPr>
      <w:r w:rsidRPr="003D7135">
        <w:rPr>
          <w:rFonts w:ascii="Verdana" w:hAnsi="Verdana"/>
          <w:b/>
          <w:sz w:val="18"/>
          <w:szCs w:val="18"/>
        </w:rPr>
        <w:t>Definitions</w:t>
      </w:r>
    </w:p>
    <w:p w:rsidR="001F66A8" w:rsidRPr="003D7135" w:rsidRDefault="001F66A8" w:rsidP="001F66A8">
      <w:pPr>
        <w:spacing w:after="20"/>
        <w:rPr>
          <w:rFonts w:ascii="Verdana" w:hAnsi="Verdana"/>
          <w:i/>
          <w:sz w:val="18"/>
          <w:szCs w:val="18"/>
        </w:rPr>
      </w:pPr>
      <w:r w:rsidRPr="003D7135">
        <w:rPr>
          <w:rFonts w:ascii="Verdana" w:hAnsi="Verdana"/>
          <w:i/>
          <w:sz w:val="18"/>
          <w:szCs w:val="18"/>
        </w:rPr>
        <w:t>Patient groups</w:t>
      </w:r>
    </w:p>
    <w:p w:rsidR="001F66A8" w:rsidRPr="003D7135" w:rsidRDefault="001F66A8" w:rsidP="001F66A8">
      <w:pPr>
        <w:spacing w:after="20"/>
        <w:rPr>
          <w:rFonts w:ascii="Verdana" w:hAnsi="Verdana"/>
          <w:sz w:val="18"/>
          <w:szCs w:val="18"/>
        </w:rPr>
      </w:pPr>
      <w:r w:rsidRPr="003D7135">
        <w:rPr>
          <w:rFonts w:ascii="Verdana" w:hAnsi="Verdana"/>
          <w:sz w:val="18"/>
          <w:szCs w:val="18"/>
        </w:rPr>
        <w:t>TB patient: a person diagnosed with tuberculosis.</w:t>
      </w:r>
    </w:p>
    <w:p w:rsidR="001F66A8" w:rsidRPr="003D7135" w:rsidRDefault="001F66A8" w:rsidP="001F66A8">
      <w:pPr>
        <w:spacing w:after="20"/>
        <w:rPr>
          <w:rFonts w:ascii="Verdana" w:hAnsi="Verdana"/>
          <w:sz w:val="18"/>
          <w:szCs w:val="18"/>
        </w:rPr>
      </w:pPr>
      <w:r w:rsidRPr="003D7135">
        <w:rPr>
          <w:rFonts w:ascii="Verdana" w:hAnsi="Verdana"/>
          <w:sz w:val="18"/>
          <w:szCs w:val="18"/>
        </w:rPr>
        <w:t xml:space="preserve">MDR-TB patient: a person diagnosed with tuberculosis resistant against rifampicin and isoniazid by phenotypic or genotypic drug susceptibility testing or with Rifampicin resistance according to </w:t>
      </w:r>
      <w:proofErr w:type="spellStart"/>
      <w:r w:rsidRPr="003D7135">
        <w:rPr>
          <w:rFonts w:ascii="Verdana" w:hAnsi="Verdana"/>
          <w:sz w:val="18"/>
          <w:szCs w:val="18"/>
        </w:rPr>
        <w:t>Xpert</w:t>
      </w:r>
      <w:proofErr w:type="spellEnd"/>
      <w:r w:rsidRPr="003D7135">
        <w:rPr>
          <w:rFonts w:ascii="Verdana" w:hAnsi="Verdana"/>
          <w:sz w:val="18"/>
          <w:szCs w:val="18"/>
        </w:rPr>
        <w:t xml:space="preserve"> MTB/RIF testing and no drug susceptibility test result ruling out MDR-TB (according to prevailing (inter)national guidelines).</w:t>
      </w:r>
    </w:p>
    <w:p w:rsidR="001F66A8" w:rsidRPr="003D7135" w:rsidRDefault="001F66A8" w:rsidP="001F66A8">
      <w:pPr>
        <w:spacing w:after="20"/>
        <w:rPr>
          <w:rFonts w:ascii="Verdana" w:hAnsi="Verdana"/>
          <w:sz w:val="18"/>
          <w:szCs w:val="18"/>
        </w:rPr>
      </w:pPr>
    </w:p>
    <w:p w:rsidR="001F66A8" w:rsidRPr="003D7135" w:rsidRDefault="001F66A8" w:rsidP="001F66A8">
      <w:pPr>
        <w:spacing w:after="20"/>
        <w:rPr>
          <w:rFonts w:ascii="Verdana" w:hAnsi="Verdana"/>
          <w:i/>
          <w:sz w:val="18"/>
          <w:szCs w:val="18"/>
        </w:rPr>
      </w:pPr>
      <w:r w:rsidRPr="003D7135">
        <w:rPr>
          <w:rFonts w:ascii="Verdana" w:hAnsi="Verdana"/>
          <w:i/>
          <w:sz w:val="18"/>
          <w:szCs w:val="18"/>
        </w:rPr>
        <w:t>Costs</w:t>
      </w:r>
    </w:p>
    <w:p w:rsidR="001F66A8" w:rsidRPr="003D7135" w:rsidRDefault="001F66A8" w:rsidP="001F66A8">
      <w:pPr>
        <w:spacing w:after="20"/>
        <w:rPr>
          <w:rFonts w:ascii="Verdana" w:hAnsi="Verdana"/>
          <w:sz w:val="18"/>
          <w:szCs w:val="18"/>
        </w:rPr>
      </w:pPr>
      <w:r w:rsidRPr="003D7135">
        <w:rPr>
          <w:rFonts w:ascii="Verdana" w:hAnsi="Verdana"/>
          <w:sz w:val="18"/>
          <w:szCs w:val="18"/>
        </w:rPr>
        <w:t xml:space="preserve">Direct costs are out-of-pocket costs linked to seeking diagnosis and treatment including medical expenses, fees, transport, accommodation and food expenditures. </w:t>
      </w:r>
    </w:p>
    <w:p w:rsidR="001F66A8" w:rsidRPr="003D7135" w:rsidRDefault="001F66A8" w:rsidP="001F66A8">
      <w:pPr>
        <w:spacing w:after="20"/>
        <w:rPr>
          <w:rFonts w:ascii="Verdana" w:hAnsi="Verdana"/>
          <w:sz w:val="18"/>
          <w:szCs w:val="18"/>
        </w:rPr>
      </w:pPr>
      <w:r w:rsidRPr="003D7135">
        <w:rPr>
          <w:rFonts w:ascii="Verdana" w:hAnsi="Verdana"/>
          <w:sz w:val="18"/>
          <w:szCs w:val="18"/>
        </w:rPr>
        <w:t>Indirect (opportunity) costs include the cost of foregone income due to the inability to work because of the illness and loss of time due to visits to health facilities, time spent on the road to and at health facilities, lost productivity and loss of job.</w:t>
      </w:r>
    </w:p>
    <w:p w:rsidR="001F66A8" w:rsidRPr="003D7135" w:rsidRDefault="001F66A8" w:rsidP="001F66A8">
      <w:pPr>
        <w:spacing w:after="20"/>
        <w:rPr>
          <w:rFonts w:ascii="Verdana" w:hAnsi="Verdana"/>
          <w:sz w:val="18"/>
          <w:szCs w:val="18"/>
        </w:rPr>
      </w:pPr>
      <w:r w:rsidRPr="003D7135">
        <w:rPr>
          <w:rFonts w:ascii="Verdana" w:hAnsi="Verdana"/>
          <w:sz w:val="18"/>
          <w:szCs w:val="18"/>
        </w:rPr>
        <w:t>Coping costs are defined as household costs to meet daily requirements despite extra expenditures or loss of income. These include the sale of assets, taking up debt, saving on food or other items, taking a child out of school to care for the patient or taking up another job, taking a child out of school to care for the patient or taking up another job.</w:t>
      </w:r>
    </w:p>
    <w:p w:rsidR="001F66A8" w:rsidRPr="003D7135" w:rsidRDefault="001F66A8" w:rsidP="001F66A8">
      <w:pPr>
        <w:spacing w:after="20"/>
        <w:rPr>
          <w:rFonts w:ascii="Verdana" w:hAnsi="Verdana"/>
          <w:sz w:val="18"/>
          <w:szCs w:val="18"/>
        </w:rPr>
      </w:pPr>
    </w:p>
    <w:p w:rsidR="001F66A8" w:rsidRPr="003D7135" w:rsidRDefault="001F66A8" w:rsidP="001F66A8">
      <w:pPr>
        <w:spacing w:after="20"/>
        <w:rPr>
          <w:rFonts w:ascii="Verdana" w:hAnsi="Verdana"/>
          <w:sz w:val="18"/>
          <w:szCs w:val="18"/>
        </w:rPr>
      </w:pPr>
      <w:r w:rsidRPr="003D7135">
        <w:rPr>
          <w:rFonts w:ascii="Verdana" w:hAnsi="Verdana"/>
          <w:i/>
          <w:sz w:val="18"/>
          <w:szCs w:val="18"/>
        </w:rPr>
        <w:t>Data collection periods</w:t>
      </w:r>
    </w:p>
    <w:p w:rsidR="001F66A8" w:rsidRPr="003D7135" w:rsidRDefault="001F66A8" w:rsidP="001F66A8">
      <w:pPr>
        <w:spacing w:after="20"/>
        <w:rPr>
          <w:rFonts w:ascii="Verdana" w:hAnsi="Verdana"/>
          <w:sz w:val="18"/>
          <w:szCs w:val="18"/>
        </w:rPr>
      </w:pPr>
      <w:r w:rsidRPr="003D7135">
        <w:rPr>
          <w:rFonts w:ascii="Verdana" w:hAnsi="Verdana"/>
          <w:sz w:val="18"/>
          <w:szCs w:val="18"/>
        </w:rPr>
        <w:t>Pre-treatment period (TB): period from onset of symptoms until start of treatment</w:t>
      </w:r>
    </w:p>
    <w:p w:rsidR="001F66A8" w:rsidRPr="003D7135" w:rsidRDefault="001F66A8" w:rsidP="001F66A8">
      <w:pPr>
        <w:spacing w:after="20"/>
        <w:rPr>
          <w:rFonts w:ascii="Verdana" w:hAnsi="Verdana"/>
          <w:sz w:val="18"/>
          <w:szCs w:val="18"/>
        </w:rPr>
      </w:pPr>
      <w:r w:rsidRPr="003D7135">
        <w:rPr>
          <w:rFonts w:ascii="Verdana" w:hAnsi="Verdana"/>
          <w:sz w:val="18"/>
          <w:szCs w:val="18"/>
        </w:rPr>
        <w:t>Pre-treatment period (MDR-TB): period from being earmarked as a MDR-TB suspect until start of MDR-TB treatment</w:t>
      </w:r>
    </w:p>
    <w:p w:rsidR="001F66A8" w:rsidRPr="003D7135" w:rsidRDefault="001F66A8" w:rsidP="001F66A8">
      <w:pPr>
        <w:spacing w:after="20"/>
        <w:rPr>
          <w:rFonts w:ascii="Verdana" w:hAnsi="Verdana"/>
          <w:sz w:val="18"/>
          <w:szCs w:val="18"/>
        </w:rPr>
      </w:pPr>
      <w:r w:rsidRPr="003D7135">
        <w:rPr>
          <w:rFonts w:ascii="Verdana" w:hAnsi="Verdana"/>
          <w:sz w:val="18"/>
          <w:szCs w:val="18"/>
        </w:rPr>
        <w:t>Intensive phase of treatment: First phase of treatment, in accordance with WHO definitions and local guidelines. Usually, 2-3 months for TB and 6-8 months for MDR-TB</w:t>
      </w:r>
    </w:p>
    <w:p w:rsidR="001F66A8" w:rsidRPr="003D7135" w:rsidRDefault="001F66A8" w:rsidP="001F66A8">
      <w:pPr>
        <w:spacing w:after="20"/>
        <w:rPr>
          <w:rFonts w:ascii="Verdana" w:hAnsi="Verdana"/>
          <w:sz w:val="18"/>
          <w:szCs w:val="18"/>
        </w:rPr>
      </w:pPr>
      <w:r w:rsidRPr="003D7135">
        <w:rPr>
          <w:rFonts w:ascii="Verdana" w:hAnsi="Verdana"/>
          <w:sz w:val="18"/>
          <w:szCs w:val="18"/>
        </w:rPr>
        <w:t>Continuation phase of treatment: Second phase of treatment, in accordance with WHO definitions and local guidelines. Usually, 4-6 months for TB and 12-18 months for MDR-TB</w:t>
      </w:r>
    </w:p>
    <w:p w:rsidR="00FE6DA8" w:rsidRPr="003D7135" w:rsidRDefault="007C6B50" w:rsidP="00BD318A">
      <w:pPr>
        <w:spacing w:after="20"/>
        <w:rPr>
          <w:rFonts w:ascii="Verdana" w:hAnsi="Verdana"/>
          <w:sz w:val="18"/>
          <w:szCs w:val="18"/>
        </w:rPr>
      </w:pPr>
      <w:r w:rsidRPr="003D7135">
        <w:rPr>
          <w:rFonts w:ascii="Verdana" w:hAnsi="Verdana"/>
          <w:b/>
          <w:sz w:val="18"/>
          <w:szCs w:val="18"/>
        </w:rPr>
        <w:lastRenderedPageBreak/>
        <w:t>Important points for the interviewers’ training</w:t>
      </w:r>
      <w:r w:rsidR="00D31006" w:rsidRPr="003D7135">
        <w:rPr>
          <w:rFonts w:ascii="Verdana" w:hAnsi="Verdana"/>
          <w:b/>
          <w:sz w:val="18"/>
          <w:szCs w:val="18"/>
        </w:rPr>
        <w:t xml:space="preserve"> </w:t>
      </w:r>
      <w:r w:rsidRPr="003D7135">
        <w:rPr>
          <w:rFonts w:ascii="Verdana" w:hAnsi="Verdana"/>
          <w:sz w:val="18"/>
          <w:szCs w:val="18"/>
        </w:rPr>
        <w:t>(adapted from the original TB CAP patient cost tool instructions)</w:t>
      </w:r>
    </w:p>
    <w:p w:rsidR="007C6B50" w:rsidRPr="003D7135" w:rsidRDefault="007C6B50" w:rsidP="007C6B50">
      <w:pPr>
        <w:pStyle w:val="Lijstalinea"/>
        <w:numPr>
          <w:ilvl w:val="0"/>
          <w:numId w:val="4"/>
        </w:numPr>
        <w:autoSpaceDE w:val="0"/>
        <w:autoSpaceDN w:val="0"/>
        <w:adjustRightInd w:val="0"/>
        <w:rPr>
          <w:rFonts w:ascii="Verdana" w:hAnsi="Verdana" w:cs="Arial"/>
          <w:sz w:val="19"/>
          <w:szCs w:val="19"/>
        </w:rPr>
      </w:pPr>
      <w:r w:rsidRPr="003D7135">
        <w:rPr>
          <w:rFonts w:ascii="Verdana" w:hAnsi="Verdana" w:cs="Arial"/>
          <w:sz w:val="19"/>
          <w:szCs w:val="19"/>
        </w:rPr>
        <w:t>Depending on how far the patient has progressed with treatment, it might be difficult for him/her to recall cost items. The interviewer should make it as easy as possible for the patient to recall by using local methods of time structuring; Interviewers should be given examples how to prompt responses regarding time and types of costs.</w:t>
      </w:r>
    </w:p>
    <w:p w:rsidR="007C6B50" w:rsidRPr="003D7135" w:rsidRDefault="007C6B50" w:rsidP="007C6B50">
      <w:pPr>
        <w:pStyle w:val="Lijstalinea"/>
        <w:numPr>
          <w:ilvl w:val="0"/>
          <w:numId w:val="4"/>
        </w:numPr>
        <w:autoSpaceDE w:val="0"/>
        <w:autoSpaceDN w:val="0"/>
        <w:adjustRightInd w:val="0"/>
        <w:rPr>
          <w:rFonts w:ascii="Verdana" w:hAnsi="Verdana" w:cs="Arial"/>
          <w:sz w:val="19"/>
          <w:szCs w:val="19"/>
        </w:rPr>
      </w:pPr>
      <w:r w:rsidRPr="003D7135">
        <w:rPr>
          <w:rFonts w:ascii="Verdana" w:hAnsi="Verdana" w:cs="Arial"/>
          <w:sz w:val="19"/>
          <w:szCs w:val="19"/>
        </w:rPr>
        <w:t>Interviewers need to be instructed about indicator definitions, such as types of costs, what is meant by cost of food, cost of travel and cost of accommodation, what is included and what is excluded and how they can help patients recalling items by prompting. This will help to ensure consistency in interviews and prompting by interviewers.</w:t>
      </w:r>
    </w:p>
    <w:p w:rsidR="007C6B50" w:rsidRPr="003D7135" w:rsidRDefault="007C6B50" w:rsidP="007C6B50">
      <w:pPr>
        <w:pStyle w:val="Lijstalinea"/>
        <w:numPr>
          <w:ilvl w:val="0"/>
          <w:numId w:val="4"/>
        </w:numPr>
        <w:autoSpaceDE w:val="0"/>
        <w:autoSpaceDN w:val="0"/>
        <w:adjustRightInd w:val="0"/>
        <w:rPr>
          <w:rFonts w:ascii="Verdana" w:hAnsi="Verdana" w:cs="Arial"/>
          <w:sz w:val="19"/>
          <w:szCs w:val="19"/>
        </w:rPr>
      </w:pPr>
      <w:r w:rsidRPr="003D7135">
        <w:rPr>
          <w:rFonts w:ascii="Verdana" w:hAnsi="Verdana" w:cs="Arial"/>
          <w:sz w:val="19"/>
          <w:szCs w:val="19"/>
        </w:rPr>
        <w:t>Interviewers need to be sensitized on the different phases (intensive, continuation) and types of TB treatment (hospitalization, different forms of DOT) and associated costs (sputum conversion test, follow up test, medicine collection etc.), to avoid double counting costs. It also needs to be clear to the interviewers what counts as TB drugs and what are additional drugs that are prescribed/bought.</w:t>
      </w:r>
    </w:p>
    <w:p w:rsidR="007C6B50" w:rsidRPr="003D7135" w:rsidRDefault="007C6B50" w:rsidP="007C6B50">
      <w:pPr>
        <w:pStyle w:val="Lijstalinea"/>
        <w:numPr>
          <w:ilvl w:val="0"/>
          <w:numId w:val="4"/>
        </w:numPr>
        <w:autoSpaceDE w:val="0"/>
        <w:autoSpaceDN w:val="0"/>
        <w:adjustRightInd w:val="0"/>
        <w:rPr>
          <w:rFonts w:ascii="Verdana" w:hAnsi="Verdana" w:cs="Arial"/>
          <w:sz w:val="19"/>
          <w:szCs w:val="19"/>
        </w:rPr>
      </w:pPr>
      <w:r w:rsidRPr="003D7135">
        <w:rPr>
          <w:rFonts w:ascii="Verdana" w:hAnsi="Verdana" w:cs="Arial"/>
          <w:sz w:val="19"/>
          <w:szCs w:val="19"/>
        </w:rPr>
        <w:t xml:space="preserve">Difficult concepts such as </w:t>
      </w:r>
      <w:r w:rsidR="00D31006" w:rsidRPr="003D7135">
        <w:rPr>
          <w:rFonts w:ascii="Verdana" w:hAnsi="Verdana" w:cs="Arial"/>
          <w:sz w:val="19"/>
          <w:szCs w:val="19"/>
        </w:rPr>
        <w:t>coping</w:t>
      </w:r>
      <w:r w:rsidRPr="003D7135">
        <w:rPr>
          <w:rFonts w:ascii="Verdana" w:hAnsi="Verdana" w:cs="Arial"/>
          <w:sz w:val="19"/>
          <w:szCs w:val="19"/>
        </w:rPr>
        <w:t xml:space="preserve"> costs need to be explained in detail with clear instructions on the intent behind the questions to ensure that interviewers are able to explain these concepts to patients.</w:t>
      </w:r>
    </w:p>
    <w:p w:rsidR="007C6B50" w:rsidRPr="003D7135" w:rsidRDefault="007C6B50" w:rsidP="007C6B50">
      <w:pPr>
        <w:pStyle w:val="Lijstalinea"/>
        <w:numPr>
          <w:ilvl w:val="0"/>
          <w:numId w:val="4"/>
        </w:numPr>
        <w:autoSpaceDE w:val="0"/>
        <w:autoSpaceDN w:val="0"/>
        <w:adjustRightInd w:val="0"/>
        <w:rPr>
          <w:rFonts w:ascii="Verdana" w:hAnsi="Verdana" w:cs="Arial"/>
          <w:sz w:val="19"/>
          <w:szCs w:val="19"/>
        </w:rPr>
      </w:pPr>
      <w:r w:rsidRPr="003D7135">
        <w:rPr>
          <w:rFonts w:ascii="Verdana" w:hAnsi="Verdana" w:cs="Arial"/>
          <w:sz w:val="19"/>
          <w:szCs w:val="19"/>
        </w:rPr>
        <w:t xml:space="preserve">It may be complicated for some patients to address questions that refer to their situation “prior to their diagnosis” vs. “post diagnosis” as they may not be clear when or where their diagnosis was made. In addition there may be other big changes in their life that coincide with their illness. It is important to teach interviewers how to tease apart issues (if any) so that changes in income etc. are truly caused by their TB, and not because of some other unrelated event. </w:t>
      </w:r>
    </w:p>
    <w:p w:rsidR="007C6B50" w:rsidRPr="003D7135" w:rsidRDefault="007C6B50" w:rsidP="007C6B50">
      <w:pPr>
        <w:pStyle w:val="Lijstalinea"/>
        <w:numPr>
          <w:ilvl w:val="0"/>
          <w:numId w:val="4"/>
        </w:numPr>
        <w:autoSpaceDE w:val="0"/>
        <w:autoSpaceDN w:val="0"/>
        <w:adjustRightInd w:val="0"/>
        <w:rPr>
          <w:rFonts w:ascii="Verdana" w:hAnsi="Verdana"/>
          <w:sz w:val="18"/>
          <w:szCs w:val="18"/>
        </w:rPr>
      </w:pPr>
      <w:r w:rsidRPr="003D7135">
        <w:rPr>
          <w:rFonts w:ascii="Verdana" w:hAnsi="Verdana" w:cs="Arial"/>
          <w:sz w:val="19"/>
          <w:szCs w:val="19"/>
        </w:rPr>
        <w:t>Interviewers should be informed about the nature of TB, what their participation means for their own health and how they can protect themselves. Depending on which kind of patients are interviewed (new, re-treatment or MDR patients), and how far the patient is into treatment, risks to interviewer health differ. For example, patients who are in their first month of treatment might still be infectious. The interviewer needs to be aware of that and knowledgeable about infection control measures;</w:t>
      </w:r>
      <w:r w:rsidR="00D31006" w:rsidRPr="003D7135">
        <w:rPr>
          <w:rFonts w:ascii="Verdana" w:hAnsi="Verdana" w:cs="Arial"/>
          <w:sz w:val="19"/>
          <w:szCs w:val="19"/>
        </w:rPr>
        <w:t xml:space="preserve"> i.e. providing respirators and/or conducting interviews in well-ventilated areas.</w:t>
      </w:r>
    </w:p>
    <w:p w:rsidR="007C6B50" w:rsidRPr="003D7135" w:rsidRDefault="00D31006" w:rsidP="007C6B50">
      <w:pPr>
        <w:pStyle w:val="Lijstalinea"/>
        <w:numPr>
          <w:ilvl w:val="0"/>
          <w:numId w:val="4"/>
        </w:numPr>
        <w:autoSpaceDE w:val="0"/>
        <w:autoSpaceDN w:val="0"/>
        <w:adjustRightInd w:val="0"/>
        <w:rPr>
          <w:rFonts w:ascii="Verdana" w:hAnsi="Verdana"/>
          <w:sz w:val="18"/>
          <w:szCs w:val="18"/>
        </w:rPr>
      </w:pPr>
      <w:r w:rsidRPr="003D7135">
        <w:rPr>
          <w:rFonts w:ascii="Verdana" w:hAnsi="Verdana"/>
          <w:sz w:val="18"/>
          <w:szCs w:val="18"/>
        </w:rPr>
        <w:t>Have interviewers sign a confidentiality agreement, if needed.</w:t>
      </w:r>
    </w:p>
    <w:p w:rsidR="007C6B50" w:rsidRPr="003D7135" w:rsidRDefault="007C6B50" w:rsidP="007C6B50">
      <w:pPr>
        <w:autoSpaceDE w:val="0"/>
        <w:autoSpaceDN w:val="0"/>
        <w:adjustRightInd w:val="0"/>
        <w:rPr>
          <w:rFonts w:ascii="Verdana" w:hAnsi="Verdana"/>
          <w:sz w:val="18"/>
          <w:szCs w:val="18"/>
        </w:rPr>
      </w:pPr>
    </w:p>
    <w:sectPr w:rsidR="007C6B50" w:rsidRPr="003D7135" w:rsidSect="003D7135">
      <w:headerReference w:type="default" r:id="rId7"/>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7F7A" w:rsidRDefault="00147F7A" w:rsidP="003D7135">
      <w:r>
        <w:separator/>
      </w:r>
    </w:p>
  </w:endnote>
  <w:endnote w:type="continuationSeparator" w:id="0">
    <w:p w:rsidR="00147F7A" w:rsidRDefault="00147F7A" w:rsidP="003D713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689249"/>
      <w:docPartObj>
        <w:docPartGallery w:val="Page Numbers (Bottom of Page)"/>
        <w:docPartUnique/>
      </w:docPartObj>
    </w:sdtPr>
    <w:sdtContent>
      <w:p w:rsidR="003D7135" w:rsidRDefault="00C24BF5">
        <w:pPr>
          <w:pStyle w:val="Voettekst"/>
          <w:jc w:val="center"/>
        </w:pPr>
        <w:r>
          <w:fldChar w:fldCharType="begin"/>
        </w:r>
        <w:r w:rsidR="00147F7A">
          <w:instrText xml:space="preserve"> PAGE   \* MERGEFORMAT </w:instrText>
        </w:r>
        <w:r>
          <w:fldChar w:fldCharType="separate"/>
        </w:r>
        <w:r w:rsidR="001D3B1C">
          <w:rPr>
            <w:noProof/>
          </w:rPr>
          <w:t>4</w:t>
        </w:r>
        <w:r>
          <w:rPr>
            <w:noProof/>
          </w:rPr>
          <w:fldChar w:fldCharType="end"/>
        </w:r>
      </w:p>
    </w:sdtContent>
  </w:sdt>
  <w:p w:rsidR="003D7135" w:rsidRDefault="003D7135">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7F7A" w:rsidRDefault="00147F7A" w:rsidP="003D7135">
      <w:r>
        <w:separator/>
      </w:r>
    </w:p>
  </w:footnote>
  <w:footnote w:type="continuationSeparator" w:id="0">
    <w:p w:rsidR="00147F7A" w:rsidRDefault="00147F7A" w:rsidP="003D713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7135" w:rsidRPr="003D7135" w:rsidRDefault="003D7135" w:rsidP="003D7135">
    <w:pPr>
      <w:jc w:val="center"/>
      <w:rPr>
        <w:rFonts w:ascii="Verdana" w:hAnsi="Verdana"/>
        <w:b/>
        <w:i/>
        <w:sz w:val="18"/>
        <w:szCs w:val="18"/>
      </w:rPr>
    </w:pPr>
    <w:r w:rsidRPr="003D7135">
      <w:rPr>
        <w:rFonts w:ascii="Verdana" w:hAnsi="Verdana"/>
        <w:b/>
        <w:i/>
        <w:sz w:val="18"/>
        <w:szCs w:val="18"/>
      </w:rPr>
      <w:t>Guidance on the TB CARE I (MDR) TB patient cost tool</w:t>
    </w:r>
  </w:p>
  <w:p w:rsidR="003D7135" w:rsidRDefault="003D7135" w:rsidP="003D7135">
    <w:pPr>
      <w:pStyle w:val="Koptekst"/>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5E1C94"/>
    <w:multiLevelType w:val="hybridMultilevel"/>
    <w:tmpl w:val="8168F4D4"/>
    <w:lvl w:ilvl="0" w:tplc="0409000F">
      <w:start w:val="1"/>
      <w:numFmt w:val="decimal"/>
      <w:lvlText w:val="%1."/>
      <w:lvlJc w:val="left"/>
      <w:pPr>
        <w:ind w:left="720" w:hanging="360"/>
      </w:pPr>
    </w:lvl>
    <w:lvl w:ilvl="1" w:tplc="2FE27086">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8BE3051"/>
    <w:multiLevelType w:val="hybridMultilevel"/>
    <w:tmpl w:val="B93CBF60"/>
    <w:lvl w:ilvl="0" w:tplc="EB108834">
      <w:start w:val="1"/>
      <w:numFmt w:val="bullet"/>
      <w:lvlText w:val="□"/>
      <w:lvlJc w:val="left"/>
      <w:pPr>
        <w:tabs>
          <w:tab w:val="num" w:pos="340"/>
        </w:tabs>
        <w:ind w:left="340" w:hanging="340"/>
      </w:pPr>
      <w:rPr>
        <w:rFonts w:ascii="Courier New" w:hAnsi="Courier New"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5B8D7350"/>
    <w:multiLevelType w:val="hybridMultilevel"/>
    <w:tmpl w:val="478081E6"/>
    <w:lvl w:ilvl="0" w:tplc="29B670B0">
      <w:start w:val="1"/>
      <w:numFmt w:val="decimal"/>
      <w:lvlText w:val="%1."/>
      <w:lvlJc w:val="left"/>
      <w:pPr>
        <w:ind w:left="720" w:hanging="360"/>
      </w:pPr>
      <w:rPr>
        <w:rFonts w:cs="Ari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35303B7"/>
    <w:multiLevelType w:val="hybridMultilevel"/>
    <w:tmpl w:val="8B8C04E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7B3318AC"/>
    <w:multiLevelType w:val="hybridMultilevel"/>
    <w:tmpl w:val="5876259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B647A22"/>
    <w:multiLevelType w:val="hybridMultilevel"/>
    <w:tmpl w:val="8B107160"/>
    <w:lvl w:ilvl="0" w:tplc="DFFECBD0">
      <w:start w:val="1"/>
      <w:numFmt w:val="decimal"/>
      <w:lvlText w:val="%1."/>
      <w:lvlJc w:val="left"/>
      <w:pPr>
        <w:ind w:left="720" w:hanging="360"/>
      </w:pPr>
    </w:lvl>
    <w:lvl w:ilvl="1" w:tplc="2FE27086">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3"/>
  </w:num>
  <w:num w:numId="4">
    <w:abstractNumId w:val="4"/>
  </w:num>
  <w:num w:numId="5">
    <w:abstractNumId w:val="1"/>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210E85"/>
    <w:rsid w:val="00010E83"/>
    <w:rsid w:val="000B0AFA"/>
    <w:rsid w:val="000D3E73"/>
    <w:rsid w:val="000F44A5"/>
    <w:rsid w:val="001258DC"/>
    <w:rsid w:val="00147F7A"/>
    <w:rsid w:val="0017197B"/>
    <w:rsid w:val="001D3B1C"/>
    <w:rsid w:val="001F66A8"/>
    <w:rsid w:val="00210E85"/>
    <w:rsid w:val="002F41E4"/>
    <w:rsid w:val="003A76C6"/>
    <w:rsid w:val="003B4BA6"/>
    <w:rsid w:val="003B6BB8"/>
    <w:rsid w:val="003D7135"/>
    <w:rsid w:val="00412125"/>
    <w:rsid w:val="004A21F1"/>
    <w:rsid w:val="004A4F5D"/>
    <w:rsid w:val="00555CCD"/>
    <w:rsid w:val="00587FB3"/>
    <w:rsid w:val="005D204F"/>
    <w:rsid w:val="00677863"/>
    <w:rsid w:val="006917F0"/>
    <w:rsid w:val="006B54E2"/>
    <w:rsid w:val="007310B9"/>
    <w:rsid w:val="00751C5C"/>
    <w:rsid w:val="00757AB5"/>
    <w:rsid w:val="007C6B50"/>
    <w:rsid w:val="00822779"/>
    <w:rsid w:val="00840AA1"/>
    <w:rsid w:val="00860A28"/>
    <w:rsid w:val="008B0952"/>
    <w:rsid w:val="008F23FB"/>
    <w:rsid w:val="0096255A"/>
    <w:rsid w:val="0096559A"/>
    <w:rsid w:val="00977EAB"/>
    <w:rsid w:val="009B5316"/>
    <w:rsid w:val="00A3320C"/>
    <w:rsid w:val="00A84E84"/>
    <w:rsid w:val="00B07069"/>
    <w:rsid w:val="00B265BC"/>
    <w:rsid w:val="00B54041"/>
    <w:rsid w:val="00BD318A"/>
    <w:rsid w:val="00BF3665"/>
    <w:rsid w:val="00C152E3"/>
    <w:rsid w:val="00C24BF5"/>
    <w:rsid w:val="00CA43C5"/>
    <w:rsid w:val="00D31006"/>
    <w:rsid w:val="00D52ADE"/>
    <w:rsid w:val="00DB0FAF"/>
    <w:rsid w:val="00DF1F61"/>
    <w:rsid w:val="00E30922"/>
    <w:rsid w:val="00E373CC"/>
    <w:rsid w:val="00E551B2"/>
    <w:rsid w:val="00E624A1"/>
    <w:rsid w:val="00E9565C"/>
    <w:rsid w:val="00EE1929"/>
    <w:rsid w:val="00F22E38"/>
    <w:rsid w:val="00F32EB7"/>
    <w:rsid w:val="00F372C6"/>
    <w:rsid w:val="00FE23B0"/>
    <w:rsid w:val="00FE6DA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10E85"/>
    <w:pPr>
      <w:spacing w:after="0" w:line="240" w:lineRule="auto"/>
    </w:pPr>
    <w:rPr>
      <w:rFonts w:ascii="Calibri" w:hAnsi="Calibri" w:cs="Calibri"/>
      <w:lang w:val="en-US"/>
    </w:rPr>
  </w:style>
  <w:style w:type="paragraph" w:styleId="Kop1">
    <w:name w:val="heading 1"/>
    <w:basedOn w:val="Standaard"/>
    <w:next w:val="Standaard"/>
    <w:link w:val="Kop1Char"/>
    <w:autoRedefine/>
    <w:qFormat/>
    <w:rsid w:val="00B265BC"/>
    <w:pPr>
      <w:keepNext/>
      <w:spacing w:before="240" w:after="60"/>
      <w:outlineLvl w:val="0"/>
    </w:pPr>
    <w:rPr>
      <w:rFonts w:ascii="Verdana" w:eastAsiaTheme="majorEastAsia" w:hAnsi="Verdana" w:cstheme="majorBidi"/>
      <w:b/>
      <w:bCs/>
      <w:kern w:val="32"/>
      <w:sz w:val="28"/>
      <w:szCs w:val="32"/>
      <w:lang w:val="nl-NL"/>
    </w:rPr>
  </w:style>
  <w:style w:type="paragraph" w:styleId="Kop2">
    <w:name w:val="heading 2"/>
    <w:basedOn w:val="Standaard"/>
    <w:next w:val="Standaard"/>
    <w:link w:val="Kop2Char"/>
    <w:autoRedefine/>
    <w:unhideWhenUsed/>
    <w:qFormat/>
    <w:rsid w:val="00B265BC"/>
    <w:pPr>
      <w:keepNext/>
      <w:spacing w:before="240" w:after="60"/>
      <w:outlineLvl w:val="1"/>
    </w:pPr>
    <w:rPr>
      <w:rFonts w:ascii="Verdana" w:eastAsiaTheme="majorEastAsia" w:hAnsi="Verdana" w:cstheme="majorBidi"/>
      <w:b/>
      <w:bCs/>
      <w:i/>
      <w:iCs/>
      <w:szCs w:val="28"/>
      <w:lang w:val="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B265BC"/>
    <w:rPr>
      <w:rFonts w:ascii="Verdana" w:eastAsiaTheme="majorEastAsia" w:hAnsi="Verdana" w:cstheme="majorBidi"/>
      <w:b/>
      <w:bCs/>
      <w:kern w:val="32"/>
      <w:sz w:val="28"/>
      <w:szCs w:val="32"/>
    </w:rPr>
  </w:style>
  <w:style w:type="character" w:customStyle="1" w:styleId="Kop2Char">
    <w:name w:val="Kop 2 Char"/>
    <w:basedOn w:val="Standaardalinea-lettertype"/>
    <w:link w:val="Kop2"/>
    <w:rsid w:val="00B265BC"/>
    <w:rPr>
      <w:rFonts w:ascii="Verdana" w:eastAsiaTheme="majorEastAsia" w:hAnsi="Verdana" w:cstheme="majorBidi"/>
      <w:b/>
      <w:bCs/>
      <w:i/>
      <w:iCs/>
      <w:sz w:val="22"/>
      <w:szCs w:val="28"/>
    </w:rPr>
  </w:style>
  <w:style w:type="paragraph" w:styleId="Ballontekst">
    <w:name w:val="Balloon Text"/>
    <w:basedOn w:val="Standaard"/>
    <w:link w:val="BallontekstChar"/>
    <w:uiPriority w:val="99"/>
    <w:semiHidden/>
    <w:unhideWhenUsed/>
    <w:rsid w:val="00FE23B0"/>
    <w:rPr>
      <w:rFonts w:ascii="Tahoma" w:hAnsi="Tahoma" w:cs="Tahoma"/>
      <w:sz w:val="16"/>
      <w:szCs w:val="16"/>
    </w:rPr>
  </w:style>
  <w:style w:type="character" w:customStyle="1" w:styleId="BallontekstChar">
    <w:name w:val="Ballontekst Char"/>
    <w:basedOn w:val="Standaardalinea-lettertype"/>
    <w:link w:val="Ballontekst"/>
    <w:uiPriority w:val="99"/>
    <w:semiHidden/>
    <w:rsid w:val="00FE23B0"/>
    <w:rPr>
      <w:rFonts w:ascii="Tahoma" w:hAnsi="Tahoma" w:cs="Tahoma"/>
      <w:sz w:val="16"/>
      <w:szCs w:val="16"/>
      <w:lang w:val="en-US"/>
    </w:rPr>
  </w:style>
  <w:style w:type="paragraph" w:styleId="Lijstalinea">
    <w:name w:val="List Paragraph"/>
    <w:basedOn w:val="Standaard"/>
    <w:uiPriority w:val="99"/>
    <w:qFormat/>
    <w:rsid w:val="0096559A"/>
    <w:pPr>
      <w:spacing w:after="200" w:line="276" w:lineRule="auto"/>
      <w:ind w:left="720"/>
      <w:contextualSpacing/>
    </w:pPr>
    <w:rPr>
      <w:rFonts w:eastAsia="MS Mincho" w:cs="Times New Roman"/>
    </w:rPr>
  </w:style>
  <w:style w:type="paragraph" w:customStyle="1" w:styleId="CharCharChar">
    <w:name w:val="Char Char Char"/>
    <w:basedOn w:val="Standaard"/>
    <w:rsid w:val="00010E83"/>
    <w:pPr>
      <w:spacing w:after="160" w:line="240" w:lineRule="exact"/>
    </w:pPr>
    <w:rPr>
      <w:rFonts w:ascii="Tahoma" w:eastAsia="Times New Roman" w:hAnsi="Tahoma" w:cs="Times New Roman"/>
      <w:sz w:val="20"/>
      <w:szCs w:val="20"/>
    </w:rPr>
  </w:style>
  <w:style w:type="paragraph" w:styleId="Koptekst">
    <w:name w:val="header"/>
    <w:basedOn w:val="Standaard"/>
    <w:link w:val="KoptekstChar"/>
    <w:uiPriority w:val="99"/>
    <w:semiHidden/>
    <w:unhideWhenUsed/>
    <w:rsid w:val="003D7135"/>
    <w:pPr>
      <w:tabs>
        <w:tab w:val="center" w:pos="4680"/>
        <w:tab w:val="right" w:pos="9360"/>
      </w:tabs>
    </w:pPr>
  </w:style>
  <w:style w:type="character" w:customStyle="1" w:styleId="KoptekstChar">
    <w:name w:val="Koptekst Char"/>
    <w:basedOn w:val="Standaardalinea-lettertype"/>
    <w:link w:val="Koptekst"/>
    <w:uiPriority w:val="99"/>
    <w:semiHidden/>
    <w:rsid w:val="003D7135"/>
    <w:rPr>
      <w:rFonts w:ascii="Calibri" w:hAnsi="Calibri" w:cs="Calibri"/>
      <w:lang w:val="en-US"/>
    </w:rPr>
  </w:style>
  <w:style w:type="paragraph" w:styleId="Voettekst">
    <w:name w:val="footer"/>
    <w:basedOn w:val="Standaard"/>
    <w:link w:val="VoettekstChar"/>
    <w:uiPriority w:val="99"/>
    <w:unhideWhenUsed/>
    <w:rsid w:val="003D7135"/>
    <w:pPr>
      <w:tabs>
        <w:tab w:val="center" w:pos="4680"/>
        <w:tab w:val="right" w:pos="9360"/>
      </w:tabs>
    </w:pPr>
  </w:style>
  <w:style w:type="character" w:customStyle="1" w:styleId="VoettekstChar">
    <w:name w:val="Voettekst Char"/>
    <w:basedOn w:val="Standaardalinea-lettertype"/>
    <w:link w:val="Voettekst"/>
    <w:uiPriority w:val="99"/>
    <w:rsid w:val="003D7135"/>
    <w:rPr>
      <w:rFonts w:ascii="Calibri" w:hAnsi="Calibri" w:cs="Calibri"/>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0E85"/>
    <w:pPr>
      <w:spacing w:after="0" w:line="240" w:lineRule="auto"/>
    </w:pPr>
    <w:rPr>
      <w:rFonts w:ascii="Calibri" w:hAnsi="Calibri" w:cs="Calibri"/>
      <w:lang w:val="en-US"/>
    </w:rPr>
  </w:style>
  <w:style w:type="paragraph" w:styleId="Heading1">
    <w:name w:val="heading 1"/>
    <w:basedOn w:val="Normal"/>
    <w:next w:val="Normal"/>
    <w:link w:val="Heading1Char"/>
    <w:autoRedefine/>
    <w:qFormat/>
    <w:rsid w:val="00B265BC"/>
    <w:pPr>
      <w:keepNext/>
      <w:spacing w:before="240" w:after="60"/>
      <w:outlineLvl w:val="0"/>
    </w:pPr>
    <w:rPr>
      <w:rFonts w:ascii="Verdana" w:eastAsiaTheme="majorEastAsia" w:hAnsi="Verdana" w:cstheme="majorBidi"/>
      <w:b/>
      <w:bCs/>
      <w:kern w:val="32"/>
      <w:sz w:val="28"/>
      <w:szCs w:val="32"/>
      <w:lang w:val="nl-NL"/>
    </w:rPr>
  </w:style>
  <w:style w:type="paragraph" w:styleId="Heading2">
    <w:name w:val="heading 2"/>
    <w:basedOn w:val="Normal"/>
    <w:next w:val="Normal"/>
    <w:link w:val="Heading2Char"/>
    <w:autoRedefine/>
    <w:unhideWhenUsed/>
    <w:qFormat/>
    <w:rsid w:val="00B265BC"/>
    <w:pPr>
      <w:keepNext/>
      <w:spacing w:before="240" w:after="60"/>
      <w:outlineLvl w:val="1"/>
    </w:pPr>
    <w:rPr>
      <w:rFonts w:ascii="Verdana" w:eastAsiaTheme="majorEastAsia" w:hAnsi="Verdana" w:cstheme="majorBidi"/>
      <w:b/>
      <w:bCs/>
      <w:i/>
      <w:iCs/>
      <w:szCs w:val="28"/>
      <w:lang w:val="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265BC"/>
    <w:rPr>
      <w:rFonts w:ascii="Verdana" w:eastAsiaTheme="majorEastAsia" w:hAnsi="Verdana" w:cstheme="majorBidi"/>
      <w:b/>
      <w:bCs/>
      <w:kern w:val="32"/>
      <w:sz w:val="28"/>
      <w:szCs w:val="32"/>
    </w:rPr>
  </w:style>
  <w:style w:type="character" w:customStyle="1" w:styleId="Heading2Char">
    <w:name w:val="Heading 2 Char"/>
    <w:basedOn w:val="DefaultParagraphFont"/>
    <w:link w:val="Heading2"/>
    <w:rsid w:val="00B265BC"/>
    <w:rPr>
      <w:rFonts w:ascii="Verdana" w:eastAsiaTheme="majorEastAsia" w:hAnsi="Verdana" w:cstheme="majorBidi"/>
      <w:b/>
      <w:bCs/>
      <w:i/>
      <w:iCs/>
      <w:sz w:val="22"/>
      <w:szCs w:val="28"/>
    </w:rPr>
  </w:style>
  <w:style w:type="paragraph" w:styleId="BalloonText">
    <w:name w:val="Balloon Text"/>
    <w:basedOn w:val="Normal"/>
    <w:link w:val="BalloonTextChar"/>
    <w:uiPriority w:val="99"/>
    <w:semiHidden/>
    <w:unhideWhenUsed/>
    <w:rsid w:val="00FE23B0"/>
    <w:rPr>
      <w:rFonts w:ascii="Tahoma" w:hAnsi="Tahoma" w:cs="Tahoma"/>
      <w:sz w:val="16"/>
      <w:szCs w:val="16"/>
    </w:rPr>
  </w:style>
  <w:style w:type="character" w:customStyle="1" w:styleId="BalloonTextChar">
    <w:name w:val="Balloon Text Char"/>
    <w:basedOn w:val="DefaultParagraphFont"/>
    <w:link w:val="BalloonText"/>
    <w:uiPriority w:val="99"/>
    <w:semiHidden/>
    <w:rsid w:val="00FE23B0"/>
    <w:rPr>
      <w:rFonts w:ascii="Tahoma" w:hAnsi="Tahoma" w:cs="Tahoma"/>
      <w:sz w:val="16"/>
      <w:szCs w:val="16"/>
      <w:lang w:val="en-US"/>
    </w:rPr>
  </w:style>
  <w:style w:type="paragraph" w:styleId="ListParagraph">
    <w:name w:val="List Paragraph"/>
    <w:basedOn w:val="Normal"/>
    <w:uiPriority w:val="99"/>
    <w:qFormat/>
    <w:rsid w:val="0096559A"/>
    <w:pPr>
      <w:spacing w:after="200" w:line="276" w:lineRule="auto"/>
      <w:ind w:left="720"/>
      <w:contextualSpacing/>
    </w:pPr>
    <w:rPr>
      <w:rFonts w:eastAsia="MS Mincho" w:cs="Times New Roman"/>
    </w:rPr>
  </w:style>
  <w:style w:type="paragraph" w:customStyle="1" w:styleId="CharCharChar">
    <w:name w:val="Char Char Char"/>
    <w:basedOn w:val="Normal"/>
    <w:rsid w:val="00010E83"/>
    <w:pPr>
      <w:spacing w:after="160" w:line="240" w:lineRule="exact"/>
    </w:pPr>
    <w:rPr>
      <w:rFonts w:ascii="Tahoma" w:eastAsia="Times New Roman" w:hAnsi="Tahoma" w:cs="Times New Roman"/>
      <w:sz w:val="20"/>
      <w:szCs w:val="20"/>
    </w:rPr>
  </w:style>
  <w:style w:type="paragraph" w:styleId="Header">
    <w:name w:val="header"/>
    <w:basedOn w:val="Normal"/>
    <w:link w:val="HeaderChar"/>
    <w:uiPriority w:val="99"/>
    <w:semiHidden/>
    <w:unhideWhenUsed/>
    <w:rsid w:val="003D7135"/>
    <w:pPr>
      <w:tabs>
        <w:tab w:val="center" w:pos="4680"/>
        <w:tab w:val="right" w:pos="9360"/>
      </w:tabs>
    </w:pPr>
  </w:style>
  <w:style w:type="character" w:customStyle="1" w:styleId="HeaderChar">
    <w:name w:val="Header Char"/>
    <w:basedOn w:val="DefaultParagraphFont"/>
    <w:link w:val="Header"/>
    <w:uiPriority w:val="99"/>
    <w:semiHidden/>
    <w:rsid w:val="003D7135"/>
    <w:rPr>
      <w:rFonts w:ascii="Calibri" w:hAnsi="Calibri" w:cs="Calibri"/>
      <w:lang w:val="en-US"/>
    </w:rPr>
  </w:style>
  <w:style w:type="paragraph" w:styleId="Footer">
    <w:name w:val="footer"/>
    <w:basedOn w:val="Normal"/>
    <w:link w:val="FooterChar"/>
    <w:uiPriority w:val="99"/>
    <w:unhideWhenUsed/>
    <w:rsid w:val="003D7135"/>
    <w:pPr>
      <w:tabs>
        <w:tab w:val="center" w:pos="4680"/>
        <w:tab w:val="right" w:pos="9360"/>
      </w:tabs>
    </w:pPr>
  </w:style>
  <w:style w:type="character" w:customStyle="1" w:styleId="FooterChar">
    <w:name w:val="Footer Char"/>
    <w:basedOn w:val="DefaultParagraphFont"/>
    <w:link w:val="Footer"/>
    <w:uiPriority w:val="99"/>
    <w:rsid w:val="003D7135"/>
    <w:rPr>
      <w:rFonts w:ascii="Calibri" w:hAnsi="Calibri" w:cs="Calibri"/>
      <w:lang w:val="en-US"/>
    </w:rPr>
  </w:style>
</w:styles>
</file>

<file path=word/webSettings.xml><?xml version="1.0" encoding="utf-8"?>
<w:webSettings xmlns:r="http://schemas.openxmlformats.org/officeDocument/2006/relationships" xmlns:w="http://schemas.openxmlformats.org/wordprocessingml/2006/main">
  <w:divs>
    <w:div w:id="131875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1662</Words>
  <Characters>9479</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KNCV Tuberculosefonds</Company>
  <LinksUpToDate>false</LinksUpToDate>
  <CharactersWithSpaces>11119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vandenhof</dc:creator>
  <cp:lastModifiedBy>Tristan</cp:lastModifiedBy>
  <cp:revision>3</cp:revision>
  <dcterms:created xsi:type="dcterms:W3CDTF">2014-07-22T06:31:00Z</dcterms:created>
  <dcterms:modified xsi:type="dcterms:W3CDTF">2014-07-23T12:16:00Z</dcterms:modified>
</cp:coreProperties>
</file>